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57B398DD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573488" w:rsidRPr="00C67A7C">
        <w:rPr>
          <w:b/>
        </w:rPr>
        <w:t>Dodávka multifunkčních čipových karet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29F5D038" w14:textId="77777777" w:rsidR="005F2B12" w:rsidRDefault="00B37056" w:rsidP="000C7BBC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</w:t>
      </w:r>
      <w:proofErr w:type="gramStart"/>
      <w:r w:rsidRPr="001E17CD">
        <w:rPr>
          <w:sz w:val="22"/>
          <w:szCs w:val="22"/>
        </w:rPr>
        <w:t>se</w:t>
      </w:r>
      <w:proofErr w:type="gramEnd"/>
      <w:r w:rsidRPr="001E17CD">
        <w:rPr>
          <w:sz w:val="22"/>
          <w:szCs w:val="22"/>
        </w:rPr>
        <w:t xml:space="preserve"> trestným činem </w:t>
      </w:r>
      <w:r w:rsidR="000F4ABA" w:rsidRPr="001E17CD">
        <w:rPr>
          <w:sz w:val="22"/>
          <w:szCs w:val="22"/>
        </w:rPr>
        <w:t xml:space="preserve">podle přílohy č. </w:t>
      </w:r>
      <w:r w:rsidR="007B07D2">
        <w:rPr>
          <w:sz w:val="22"/>
          <w:szCs w:val="22"/>
        </w:rPr>
        <w:t>4</w:t>
      </w:r>
      <w:r w:rsidR="000F4ABA" w:rsidRPr="001E17CD">
        <w:rPr>
          <w:sz w:val="22"/>
          <w:szCs w:val="22"/>
        </w:rPr>
        <w:t xml:space="preserve"> k</w:t>
      </w:r>
      <w:r w:rsidR="005F2B12">
        <w:rPr>
          <w:sz w:val="22"/>
          <w:szCs w:val="22"/>
        </w:rPr>
        <w:t xml:space="preserve"> zákonu č. </w:t>
      </w:r>
    </w:p>
    <w:p w14:paraId="5D3E90CE" w14:textId="50B77AFB" w:rsidR="00495B1B" w:rsidRPr="001E17CD" w:rsidRDefault="005F2B12" w:rsidP="000C7BBC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rozumí:</w:t>
      </w:r>
    </w:p>
    <w:p w14:paraId="444622D3" w14:textId="77777777" w:rsidR="000F4ABA" w:rsidRPr="001E17CD" w:rsidRDefault="000F4ABA" w:rsidP="000C7BBC">
      <w:pPr>
        <w:ind w:left="2127" w:hanging="2127"/>
        <w:jc w:val="both"/>
        <w:rPr>
          <w:sz w:val="22"/>
          <w:szCs w:val="22"/>
        </w:rPr>
      </w:pPr>
    </w:p>
    <w:p w14:paraId="51B2D962" w14:textId="77777777" w:rsidR="00495B1B" w:rsidRPr="001E17CD" w:rsidRDefault="00495B1B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554A718C" w14:textId="77777777" w:rsidR="00D069E8" w:rsidRPr="001E17CD" w:rsidRDefault="00D069E8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23F2E5BF" w14:textId="77777777" w:rsidR="00D069E8" w:rsidRPr="001E17CD" w:rsidRDefault="00D069E8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38649AB7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06903F84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66E1670B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703B04C2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233278AB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624C0B11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1A5167F1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00D3715" w14:textId="77777777" w:rsidR="00135B9C" w:rsidRPr="001E17CD" w:rsidRDefault="00135B9C" w:rsidP="000C7BBC">
      <w:pPr>
        <w:jc w:val="both"/>
        <w:rPr>
          <w:sz w:val="22"/>
          <w:szCs w:val="22"/>
        </w:rPr>
      </w:pPr>
    </w:p>
    <w:p w14:paraId="5606F2C0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639B8C96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616D325A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35319B0F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B166BA9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362D0ABC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7901AE0D" w14:textId="77777777" w:rsidR="00135B9C" w:rsidRPr="001E17CD" w:rsidRDefault="00135B9C" w:rsidP="000C7BBC">
      <w:pPr>
        <w:jc w:val="both"/>
        <w:rPr>
          <w:sz w:val="22"/>
          <w:szCs w:val="22"/>
        </w:rPr>
      </w:pPr>
    </w:p>
    <w:p w14:paraId="507F2E2B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3A1B14CB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3BF97C2C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6D1D8850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21034739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15D00763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68B824D9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</w:t>
      </w:r>
      <w:proofErr w:type="gramStart"/>
      <w:r w:rsidR="0021234C" w:rsidRPr="001E17CD">
        <w:rPr>
          <w:sz w:val="22"/>
          <w:szCs w:val="22"/>
        </w:rPr>
        <w:t>na</w:t>
      </w:r>
      <w:proofErr w:type="gramEnd"/>
      <w:r w:rsidR="0021234C" w:rsidRPr="001E17CD">
        <w:rPr>
          <w:sz w:val="22"/>
          <w:szCs w:val="22"/>
        </w:rPr>
        <w:t xml:space="preserve">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</w:t>
      </w:r>
      <w:proofErr w:type="gramStart"/>
      <w:r w:rsidR="0021234C" w:rsidRPr="001E17CD">
        <w:rPr>
          <w:sz w:val="22"/>
          <w:szCs w:val="22"/>
        </w:rPr>
        <w:t>na</w:t>
      </w:r>
      <w:proofErr w:type="gramEnd"/>
      <w:r w:rsidR="0021234C" w:rsidRPr="001E17CD">
        <w:rPr>
          <w:sz w:val="22"/>
          <w:szCs w:val="22"/>
        </w:rPr>
        <w:t xml:space="preserve">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</w:t>
      </w:r>
      <w:proofErr w:type="gramStart"/>
      <w:r w:rsidRPr="001E17CD">
        <w:rPr>
          <w:sz w:val="22"/>
          <w:szCs w:val="22"/>
        </w:rPr>
        <w:t>opatřeních</w:t>
      </w:r>
      <w:proofErr w:type="gramEnd"/>
      <w:r w:rsidRPr="001E17CD">
        <w:rPr>
          <w:sz w:val="22"/>
          <w:szCs w:val="22"/>
        </w:rPr>
        <w:t xml:space="preserve">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70A913EA" w14:textId="77777777" w:rsidR="00CD6AF7" w:rsidRPr="00CB67EB" w:rsidRDefault="00CD6AF7" w:rsidP="00CD6AF7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Pr="00C67A7C">
        <w:rPr>
          <w:b/>
        </w:rPr>
        <w:t>Dodávka multifunkčních čipových karet</w:t>
      </w:r>
      <w:r>
        <w:rPr>
          <w:b/>
        </w:rPr>
        <w:t>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0E4B96D1" w14:textId="718C2C0C" w:rsidR="007F3287" w:rsidRPr="00E36465" w:rsidRDefault="00143CF7" w:rsidP="007F3287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="00E879E2" w:rsidRPr="00E879E2">
        <w:rPr>
          <w:sz w:val="22"/>
          <w:szCs w:val="22"/>
        </w:rPr>
        <w:t>v posledních</w:t>
      </w:r>
      <w:r w:rsidR="00E36465">
        <w:rPr>
          <w:sz w:val="22"/>
          <w:szCs w:val="22"/>
        </w:rPr>
        <w:t xml:space="preserve"> 3 letech realizoval </w:t>
      </w:r>
      <w:r w:rsidR="00573488" w:rsidRPr="000134E8">
        <w:rPr>
          <w:rFonts w:eastAsia="Times New Roman"/>
        </w:rPr>
        <w:t>alespoň dvě (2) obdobné dodávky. Obdobnou dodávkou se rozumí výroba a dodání čipových karet v obdobném rozsahu, jako je předmět tohoto poptávkového řízení, alespoň v počtu 30.000 ks za rok</w:t>
      </w:r>
    </w:p>
    <w:p w14:paraId="10C160D5" w14:textId="0277A0F3" w:rsidR="00143CF7" w:rsidRDefault="00143CF7" w:rsidP="00143CF7">
      <w:pPr>
        <w:spacing w:line="276" w:lineRule="auto"/>
        <w:jc w:val="both"/>
        <w:rPr>
          <w:sz w:val="22"/>
          <w:szCs w:val="22"/>
        </w:rPr>
      </w:pPr>
    </w:p>
    <w:p w14:paraId="65AC8C0A" w14:textId="77777777" w:rsidR="00143CF7" w:rsidRPr="00A43CFE" w:rsidRDefault="00143CF7" w:rsidP="00143CF7">
      <w:pPr>
        <w:rPr>
          <w:sz w:val="22"/>
          <w:szCs w:val="22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355"/>
        <w:gridCol w:w="2651"/>
        <w:gridCol w:w="2410"/>
        <w:gridCol w:w="1701"/>
        <w:gridCol w:w="1842"/>
      </w:tblGrid>
      <w:tr w:rsidR="00E54D9E" w:rsidRPr="007F283B" w14:paraId="455E3949" w14:textId="77777777" w:rsidTr="00E54D9E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651" w:type="dxa"/>
            <w:shd w:val="clear" w:color="auto" w:fill="B8CCE4" w:themeFill="accent1" w:themeFillTint="66"/>
            <w:vAlign w:val="center"/>
          </w:tcPr>
          <w:p w14:paraId="40B9A294" w14:textId="77777777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2C9EF191" w14:textId="3D37D146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0711750C" w14:textId="77777777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Termín dodání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14:paraId="68A60D6F" w14:textId="63DCFCCE" w:rsidR="00E54D9E" w:rsidRPr="007F283B" w:rsidRDefault="00573488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Počet kusů čipových karet</w:t>
            </w:r>
          </w:p>
        </w:tc>
      </w:tr>
      <w:tr w:rsidR="00E54D9E" w:rsidRPr="007F283B" w14:paraId="1F2264BE" w14:textId="77777777" w:rsidTr="00E54D9E">
        <w:trPr>
          <w:trHeight w:val="690"/>
        </w:trPr>
        <w:tc>
          <w:tcPr>
            <w:tcW w:w="355" w:type="dxa"/>
          </w:tcPr>
          <w:p w14:paraId="4AC876D1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7830CD7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49905093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5564CBA1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406FE148" w14:textId="153CB7D3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</w:tr>
      <w:tr w:rsidR="00E54D9E" w:rsidRPr="007F283B" w14:paraId="3FB61667" w14:textId="77777777" w:rsidTr="00E54D9E">
        <w:trPr>
          <w:trHeight w:val="690"/>
        </w:trPr>
        <w:tc>
          <w:tcPr>
            <w:tcW w:w="355" w:type="dxa"/>
          </w:tcPr>
          <w:p w14:paraId="057FA1D9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C70A6A0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58B502B8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7680A5A4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33362855" w14:textId="40F0F1FF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</w:tr>
      <w:tr w:rsidR="00E54D9E" w:rsidRPr="007F283B" w14:paraId="4C3E99BC" w14:textId="77777777" w:rsidTr="00E54D9E">
        <w:trPr>
          <w:trHeight w:val="690"/>
        </w:trPr>
        <w:tc>
          <w:tcPr>
            <w:tcW w:w="355" w:type="dxa"/>
          </w:tcPr>
          <w:p w14:paraId="478638DF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340997C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604CCEAF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729FF740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7DA208F5" w14:textId="438F7C4A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1CE59C14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CD6AF7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607575AD" w:rsidR="002F1E4F" w:rsidRDefault="002F1E4F">
    <w:pPr>
      <w:pStyle w:val="Zhlav"/>
    </w:pPr>
    <w:r w:rsidRPr="004B7616">
      <w:rPr>
        <w:i/>
        <w:noProof/>
      </w:rPr>
      <w:drawing>
        <wp:anchor distT="0" distB="0" distL="114300" distR="114300" simplePos="0" relativeHeight="251659264" behindDoc="0" locked="0" layoutInCell="1" allowOverlap="1" wp14:anchorId="509FADD8" wp14:editId="18DD058C">
          <wp:simplePos x="0" y="0"/>
          <wp:positionH relativeFrom="page">
            <wp:posOffset>3705004</wp:posOffset>
          </wp:positionH>
          <wp:positionV relativeFrom="paragraph">
            <wp:posOffset>-463756</wp:posOffset>
          </wp:positionV>
          <wp:extent cx="3681080" cy="907311"/>
          <wp:effectExtent l="19050" t="0" r="0" b="0"/>
          <wp:wrapNone/>
          <wp:docPr id="3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1080" cy="907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3488"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16AE5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2D30"/>
    <w:rsid w:val="002F1E4F"/>
    <w:rsid w:val="002F6E3A"/>
    <w:rsid w:val="002F7947"/>
    <w:rsid w:val="00313227"/>
    <w:rsid w:val="00313E96"/>
    <w:rsid w:val="003647C3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34349"/>
    <w:rsid w:val="00542E60"/>
    <w:rsid w:val="00546AE5"/>
    <w:rsid w:val="00573488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7D2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5F9F"/>
    <w:rsid w:val="008C79C5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C6AF4"/>
    <w:rsid w:val="00CD0835"/>
    <w:rsid w:val="00CD6AF7"/>
    <w:rsid w:val="00CE436D"/>
    <w:rsid w:val="00D069E8"/>
    <w:rsid w:val="00D823C1"/>
    <w:rsid w:val="00DC0710"/>
    <w:rsid w:val="00E07934"/>
    <w:rsid w:val="00E32B79"/>
    <w:rsid w:val="00E36465"/>
    <w:rsid w:val="00E54D9E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8368D-6C99-4BB3-B971-5F4FE3485381}"/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9</cp:revision>
  <cp:lastPrinted>2017-09-25T08:39:00Z</cp:lastPrinted>
  <dcterms:created xsi:type="dcterms:W3CDTF">2022-09-09T12:25:00Z</dcterms:created>
  <dcterms:modified xsi:type="dcterms:W3CDTF">2022-09-09T13:10:00Z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