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609" w14:textId="77777777" w:rsidR="00006F3C" w:rsidRPr="00AE3861" w:rsidRDefault="00C46767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RÁMCOVÁ KUPNÍ SMLOUVA  </w:t>
      </w:r>
    </w:p>
    <w:p w14:paraId="5B20460A" w14:textId="77E06229" w:rsidR="00BF51C0" w:rsidRPr="009C4FBB" w:rsidRDefault="00BF51C0" w:rsidP="00BF51C0">
      <w:pPr>
        <w:pStyle w:val="Podnadpis"/>
        <w:jc w:val="center"/>
        <w:rPr>
          <w:b/>
          <w:sz w:val="32"/>
        </w:rPr>
      </w:pPr>
      <w:r w:rsidRPr="00AE3861">
        <w:rPr>
          <w:b/>
          <w:sz w:val="32"/>
          <w:szCs w:val="32"/>
        </w:rPr>
        <w:t xml:space="preserve">č. </w:t>
      </w:r>
      <w:r w:rsidR="001A1B75">
        <w:rPr>
          <w:b/>
          <w:sz w:val="32"/>
          <w:szCs w:val="32"/>
        </w:rPr>
        <w:t>030/2025</w:t>
      </w:r>
      <w:r w:rsidR="009950E5">
        <w:rPr>
          <w:b/>
          <w:sz w:val="32"/>
          <w:szCs w:val="32"/>
        </w:rPr>
        <w:t>/</w:t>
      </w:r>
      <w:r w:rsidRPr="00AE3861">
        <w:rPr>
          <w:b/>
          <w:sz w:val="32"/>
          <w:szCs w:val="32"/>
        </w:rPr>
        <w:t>PMDP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ust.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07A1BCF1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  <w:r w:rsidR="00653B46">
        <w:rPr>
          <w:rStyle w:val="Znakapoznpodarou"/>
          <w:b/>
          <w:sz w:val="28"/>
          <w:szCs w:val="28"/>
        </w:rPr>
        <w:footnoteReference w:id="2"/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6917404D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  <w:r w:rsidR="00653B46">
        <w:rPr>
          <w:b/>
          <w:sz w:val="28"/>
        </w:rPr>
        <w:t>č. 1</w:t>
      </w:r>
    </w:p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4D51AA6C" w:rsidR="009950E5" w:rsidRPr="00C9628A" w:rsidRDefault="002831A1" w:rsidP="009950E5">
      <w:pPr>
        <w:pStyle w:val="Podnadpis"/>
        <w:ind w:left="360"/>
        <w:rPr>
          <w:i/>
          <w:color w:val="800000"/>
          <w:sz w:val="22"/>
          <w:szCs w:val="22"/>
        </w:rPr>
      </w:pPr>
      <w:r>
        <w:rPr>
          <w:sz w:val="22"/>
          <w:szCs w:val="22"/>
        </w:rPr>
        <w:t>Tel.</w:t>
      </w:r>
      <w:r w:rsidR="009950E5" w:rsidRPr="00C9628A">
        <w:rPr>
          <w:sz w:val="22"/>
          <w:szCs w:val="22"/>
        </w:rPr>
        <w:t xml:space="preserve">: </w:t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0CEBB027" w14:textId="77777777" w:rsidR="00304B14" w:rsidRDefault="009950E5" w:rsidP="009950E5">
      <w:pPr>
        <w:pStyle w:val="Podnadpis"/>
        <w:ind w:left="360"/>
        <w:rPr>
          <w:b/>
          <w:i/>
          <w:color w:val="943634" w:themeColor="accent2" w:themeShade="BF"/>
          <w:sz w:val="22"/>
          <w:szCs w:val="22"/>
          <w:lang w:eastAsia="cs-CZ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1FE4561D" w14:textId="2CC84F62" w:rsidR="00304B14" w:rsidRDefault="00304B14" w:rsidP="00304B14">
      <w:pPr>
        <w:pStyle w:val="Podnadpis"/>
        <w:ind w:left="360"/>
        <w:rPr>
          <w:b/>
          <w:i/>
          <w:color w:val="943634" w:themeColor="accent2" w:themeShade="BF"/>
          <w:sz w:val="22"/>
          <w:szCs w:val="22"/>
          <w:lang w:eastAsia="cs-CZ"/>
        </w:rPr>
      </w:pPr>
      <w:r>
        <w:rPr>
          <w:sz w:val="22"/>
          <w:szCs w:val="22"/>
        </w:rPr>
        <w:t>Web e-</w:t>
      </w:r>
      <w:r>
        <w:t>shopu:</w:t>
      </w:r>
      <w:r>
        <w:tab/>
      </w:r>
      <w: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2A3D814E" w:rsidR="009950E5" w:rsidRPr="00C9628A" w:rsidRDefault="00656617" w:rsidP="009950E5">
      <w:pPr>
        <w:pStyle w:val="Podnadpis"/>
        <w:ind w:left="360"/>
        <w:rPr>
          <w:i/>
          <w:color w:val="800000"/>
          <w:sz w:val="22"/>
          <w:szCs w:val="22"/>
        </w:rPr>
      </w:pP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D" w14:textId="6EF40799" w:rsidR="009950E5" w:rsidRPr="00AE3861" w:rsidRDefault="009950E5" w:rsidP="009950E5">
      <w:pPr>
        <w:pStyle w:val="Podnadpis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 xml:space="preserve">Prodávající </w:t>
      </w:r>
      <w:r>
        <w:rPr>
          <w:b/>
          <w:sz w:val="28"/>
          <w:szCs w:val="28"/>
        </w:rPr>
        <w:t xml:space="preserve">č. </w:t>
      </w:r>
      <w:r w:rsidRPr="00AE3861">
        <w:rPr>
          <w:b/>
          <w:sz w:val="28"/>
          <w:szCs w:val="28"/>
        </w:rPr>
        <w:t>2</w:t>
      </w:r>
    </w:p>
    <w:p w14:paraId="5B20461F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rPr>
          <w:szCs w:val="24"/>
        </w:rPr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0" w14:textId="77777777" w:rsidR="009950E5" w:rsidRPr="009C4FBB" w:rsidRDefault="009950E5" w:rsidP="009950E5">
      <w:pPr>
        <w:pStyle w:val="Podnadpis"/>
        <w:ind w:left="360"/>
        <w:rPr>
          <w:sz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1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2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3" w14:textId="77777777" w:rsidR="009950E5" w:rsidRPr="00C9628A" w:rsidRDefault="009950E5" w:rsidP="009950E5">
      <w:pPr>
        <w:pStyle w:val="Podnadpis"/>
        <w:ind w:left="360"/>
        <w:rPr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4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5" w14:textId="08FCA1C4" w:rsidR="009950E5" w:rsidRPr="009C4FBB" w:rsidRDefault="002831A1" w:rsidP="009950E5">
      <w:pPr>
        <w:pStyle w:val="Podnadpis"/>
        <w:ind w:left="360"/>
        <w:rPr>
          <w:sz w:val="22"/>
        </w:rPr>
      </w:pPr>
      <w:r>
        <w:rPr>
          <w:sz w:val="22"/>
          <w:szCs w:val="22"/>
        </w:rPr>
        <w:t>Tel.</w:t>
      </w:r>
      <w:r w:rsidR="009950E5" w:rsidRPr="00C9628A">
        <w:rPr>
          <w:sz w:val="22"/>
          <w:szCs w:val="22"/>
        </w:rPr>
        <w:t xml:space="preserve">: </w:t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6" w14:textId="0172A07E" w:rsidR="009950E5" w:rsidRDefault="009950E5" w:rsidP="009950E5">
      <w:pPr>
        <w:pStyle w:val="Podnadpis"/>
        <w:ind w:left="360"/>
        <w:rPr>
          <w:b/>
          <w:i/>
          <w:color w:val="943634" w:themeColor="accent2" w:themeShade="BF"/>
          <w:sz w:val="22"/>
          <w:szCs w:val="22"/>
          <w:lang w:eastAsia="cs-CZ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77B20802" w14:textId="77777777" w:rsidR="00304B14" w:rsidRDefault="00304B14" w:rsidP="00304B14">
      <w:pPr>
        <w:pStyle w:val="Podnadpis"/>
        <w:ind w:left="360"/>
        <w:rPr>
          <w:b/>
          <w:i/>
          <w:color w:val="943634" w:themeColor="accent2" w:themeShade="BF"/>
          <w:sz w:val="22"/>
          <w:szCs w:val="22"/>
          <w:lang w:eastAsia="cs-CZ"/>
        </w:rPr>
      </w:pPr>
      <w:r>
        <w:rPr>
          <w:sz w:val="22"/>
          <w:szCs w:val="22"/>
        </w:rPr>
        <w:t>Web e-</w:t>
      </w:r>
      <w:r>
        <w:t>shopu:</w:t>
      </w:r>
      <w:r>
        <w:tab/>
      </w:r>
      <w: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2583B361" w14:textId="77777777" w:rsidR="00304B14" w:rsidRPr="00304B14" w:rsidRDefault="00304B14" w:rsidP="00304B14">
      <w:pPr>
        <w:pStyle w:val="Zkladntext"/>
        <w:rPr>
          <w:lang w:eastAsia="cs-CZ"/>
        </w:rPr>
      </w:pPr>
    </w:p>
    <w:p w14:paraId="5B204627" w14:textId="77777777" w:rsidR="009950E5" w:rsidRPr="00AE3861" w:rsidRDefault="00656617" w:rsidP="009950E5">
      <w:pPr>
        <w:rPr>
          <w:color w:val="800000"/>
          <w:szCs w:val="24"/>
        </w:rPr>
      </w:pPr>
      <w:hyperlink r:id="rId13" w:history="1"/>
    </w:p>
    <w:p w14:paraId="5B204629" w14:textId="5F64E249" w:rsidR="009950E5" w:rsidRPr="009C4FBB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  <w:szCs w:val="28"/>
        </w:rPr>
        <w:t xml:space="preserve">Prodávající </w:t>
      </w:r>
      <w:r>
        <w:rPr>
          <w:b/>
          <w:sz w:val="28"/>
          <w:szCs w:val="28"/>
        </w:rPr>
        <w:t>č. 3</w:t>
      </w:r>
    </w:p>
    <w:p w14:paraId="5B20462B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C" w14:textId="77777777" w:rsidR="009950E5" w:rsidRPr="009C4FBB" w:rsidRDefault="009950E5" w:rsidP="009950E5">
      <w:pPr>
        <w:pStyle w:val="Podnadpis"/>
        <w:ind w:left="360"/>
        <w:rPr>
          <w:sz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D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E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2F" w14:textId="77777777" w:rsidR="009950E5" w:rsidRPr="00C9628A" w:rsidRDefault="009950E5" w:rsidP="009950E5">
      <w:pPr>
        <w:pStyle w:val="Podnadpis"/>
        <w:ind w:left="360"/>
        <w:rPr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30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31" w14:textId="64430C73" w:rsidR="009950E5" w:rsidRPr="009C4FBB" w:rsidRDefault="002831A1" w:rsidP="009950E5">
      <w:pPr>
        <w:pStyle w:val="Podnadpis"/>
        <w:ind w:left="360"/>
        <w:rPr>
          <w:sz w:val="22"/>
        </w:rPr>
      </w:pPr>
      <w:r>
        <w:rPr>
          <w:sz w:val="22"/>
          <w:szCs w:val="22"/>
        </w:rPr>
        <w:t>Tel.</w:t>
      </w:r>
      <w:r w:rsidR="009950E5" w:rsidRPr="00C9628A">
        <w:rPr>
          <w:sz w:val="22"/>
          <w:szCs w:val="22"/>
        </w:rPr>
        <w:t xml:space="preserve">: </w:t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C9628A">
        <w:rPr>
          <w:sz w:val="22"/>
          <w:szCs w:val="22"/>
        </w:rPr>
        <w:tab/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32" w14:textId="2685C969" w:rsidR="009950E5" w:rsidRDefault="009950E5" w:rsidP="009950E5">
      <w:pPr>
        <w:pStyle w:val="Zkladntext"/>
        <w:ind w:firstLine="360"/>
        <w:rPr>
          <w:b/>
          <w:i/>
          <w:color w:val="943634" w:themeColor="accent2" w:themeShade="BF"/>
          <w:sz w:val="22"/>
          <w:szCs w:val="22"/>
          <w:lang w:eastAsia="cs-CZ"/>
        </w:rPr>
      </w:pPr>
      <w:r w:rsidRPr="00C9628A">
        <w:rPr>
          <w:sz w:val="22"/>
          <w:szCs w:val="22"/>
        </w:rPr>
        <w:t xml:space="preserve"> 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6A22CAEF" w14:textId="77777777" w:rsidR="00304B14" w:rsidRDefault="00304B14" w:rsidP="00304B14">
      <w:pPr>
        <w:pStyle w:val="Podnadpis"/>
        <w:ind w:left="360"/>
        <w:rPr>
          <w:b/>
          <w:i/>
          <w:color w:val="943634" w:themeColor="accent2" w:themeShade="BF"/>
          <w:sz w:val="22"/>
          <w:szCs w:val="22"/>
          <w:lang w:eastAsia="cs-CZ"/>
        </w:rPr>
      </w:pPr>
      <w:r>
        <w:rPr>
          <w:sz w:val="22"/>
          <w:szCs w:val="22"/>
        </w:rPr>
        <w:t>Web e-</w:t>
      </w:r>
      <w:r>
        <w:t>shopu:</w:t>
      </w:r>
      <w:r>
        <w:tab/>
      </w:r>
      <w: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758C8EB1" w14:textId="77777777" w:rsidR="00304B14" w:rsidRPr="00C9628A" w:rsidRDefault="00304B14" w:rsidP="009950E5">
      <w:pPr>
        <w:pStyle w:val="Zkladntext"/>
        <w:ind w:firstLine="360"/>
        <w:rPr>
          <w:sz w:val="22"/>
          <w:szCs w:val="22"/>
        </w:rPr>
      </w:pPr>
    </w:p>
    <w:p w14:paraId="5B204633" w14:textId="77777777" w:rsidR="009950E5" w:rsidRPr="00C9628A" w:rsidRDefault="009950E5" w:rsidP="009950E5">
      <w:pPr>
        <w:pStyle w:val="Zkladntext"/>
        <w:rPr>
          <w:sz w:val="22"/>
          <w:szCs w:val="22"/>
        </w:rPr>
      </w:pPr>
    </w:p>
    <w:p w14:paraId="5B20464C" w14:textId="574CCEFB" w:rsidR="00D16DBF" w:rsidRPr="00AE3861" w:rsidRDefault="002831A1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dále jen „Prodávající“, a to buď společně, nebo samostatně, podle kontextu </w:t>
      </w:r>
    </w:p>
    <w:p w14:paraId="5B20464D" w14:textId="4B876839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24B63BD5" w14:textId="2360350E" w:rsidR="002831A1" w:rsidRDefault="002831A1" w:rsidP="00883F77">
      <w:pPr>
        <w:tabs>
          <w:tab w:val="left" w:pos="360"/>
        </w:tabs>
        <w:rPr>
          <w:b/>
          <w:sz w:val="28"/>
        </w:rPr>
      </w:pPr>
      <w:r>
        <w:rPr>
          <w:b/>
          <w:sz w:val="28"/>
        </w:rPr>
        <w:t>a</w:t>
      </w:r>
    </w:p>
    <w:p w14:paraId="3CE011E8" w14:textId="50593273" w:rsidR="00653B46" w:rsidRDefault="00653B46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08F13F52" w14:textId="77777777" w:rsidR="002831A1" w:rsidRDefault="002831A1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5357CBC4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č.p. 920/12, </w:t>
      </w:r>
      <w:r w:rsidR="002F5A3C" w:rsidRPr="002F5A3C">
        <w:rPr>
          <w:sz w:val="22"/>
          <w:szCs w:val="22"/>
        </w:rPr>
        <w:t xml:space="preserve">Východní Předměstí, </w:t>
      </w:r>
      <w:r w:rsidR="00CC1206">
        <w:rPr>
          <w:sz w:val="22"/>
          <w:szCs w:val="22"/>
        </w:rPr>
        <w:t>Plzeň,</w:t>
      </w:r>
      <w:r w:rsidR="002F5A3C" w:rsidRPr="002F5A3C">
        <w:rPr>
          <w:sz w:val="22"/>
          <w:szCs w:val="22"/>
        </w:rPr>
        <w:t xml:space="preserve"> </w:t>
      </w:r>
      <w:r w:rsidRPr="002F5A3C">
        <w:rPr>
          <w:sz w:val="22"/>
          <w:szCs w:val="22"/>
        </w:rPr>
        <w:t xml:space="preserve">PSČ </w:t>
      </w:r>
      <w:r w:rsidR="002F5A3C" w:rsidRPr="002F5A3C">
        <w:rPr>
          <w:sz w:val="22"/>
          <w:szCs w:val="22"/>
        </w:rPr>
        <w:t>301 00</w:t>
      </w:r>
    </w:p>
    <w:p w14:paraId="5B204652" w14:textId="4CEBAA08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653B46">
        <w:rPr>
          <w:sz w:val="22"/>
          <w:szCs w:val="22"/>
        </w:rPr>
        <w:t>Mgr</w:t>
      </w:r>
      <w:r w:rsidR="00640519">
        <w:rPr>
          <w:sz w:val="22"/>
          <w:szCs w:val="22"/>
        </w:rPr>
        <w:t>. J</w:t>
      </w:r>
      <w:r w:rsidR="00653B46">
        <w:rPr>
          <w:sz w:val="22"/>
          <w:szCs w:val="22"/>
        </w:rPr>
        <w:t>anem</w:t>
      </w:r>
      <w:r w:rsidR="00640519">
        <w:rPr>
          <w:sz w:val="22"/>
          <w:szCs w:val="22"/>
        </w:rPr>
        <w:t xml:space="preserve"> </w:t>
      </w:r>
      <w:r w:rsidR="00653B46">
        <w:rPr>
          <w:sz w:val="22"/>
          <w:szCs w:val="22"/>
        </w:rPr>
        <w:t>Schejbalem</w:t>
      </w:r>
      <w:r w:rsidR="00640519">
        <w:rPr>
          <w:sz w:val="22"/>
          <w:szCs w:val="22"/>
        </w:rPr>
        <w:t>, MBA</w:t>
      </w:r>
      <w:r>
        <w:rPr>
          <w:sz w:val="22"/>
          <w:szCs w:val="22"/>
          <w:lang w:eastAsia="cs-CZ"/>
        </w:rPr>
        <w:t xml:space="preserve">, </w:t>
      </w:r>
      <w:r w:rsidR="00653B46">
        <w:rPr>
          <w:sz w:val="22"/>
          <w:szCs w:val="22"/>
          <w:lang w:eastAsia="cs-CZ"/>
        </w:rPr>
        <w:t>ekonomickým</w:t>
      </w:r>
      <w:r w:rsidR="00640519">
        <w:rPr>
          <w:sz w:val="22"/>
          <w:szCs w:val="22"/>
          <w:lang w:eastAsia="cs-CZ"/>
        </w:rPr>
        <w:t xml:space="preserve"> ředitelem</w:t>
      </w:r>
      <w:r>
        <w:rPr>
          <w:sz w:val="22"/>
          <w:szCs w:val="22"/>
          <w:lang w:eastAsia="cs-CZ"/>
        </w:rPr>
        <w:t xml:space="preserve">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lastRenderedPageBreak/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77777777" w:rsidR="00883F77" w:rsidRPr="009C4FBB" w:rsidRDefault="00883F77" w:rsidP="00883F77">
      <w:pPr>
        <w:pStyle w:val="Podnadpis"/>
        <w:ind w:left="360"/>
        <w:jc w:val="both"/>
        <w:rPr>
          <w:sz w:val="22"/>
        </w:rPr>
      </w:pPr>
      <w:r w:rsidRPr="002F5A3C">
        <w:rPr>
          <w:sz w:val="22"/>
          <w:szCs w:val="22"/>
        </w:rPr>
        <w:t xml:space="preserve">Bankovní spojení: </w:t>
      </w:r>
      <w:r w:rsidRPr="002F5A3C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5B204656" w14:textId="56B5BDA2" w:rsidR="00883F77" w:rsidRPr="002F5A3C" w:rsidRDefault="00883F77" w:rsidP="00883F77">
      <w:pPr>
        <w:pStyle w:val="Podnadpis"/>
        <w:ind w:left="360"/>
        <w:jc w:val="both"/>
        <w:rPr>
          <w:sz w:val="22"/>
          <w:szCs w:val="22"/>
        </w:rPr>
      </w:pPr>
      <w:r w:rsidRPr="002F5A3C">
        <w:rPr>
          <w:sz w:val="22"/>
          <w:szCs w:val="22"/>
        </w:rPr>
        <w:t>Kontaktní osoba: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="00413D9B">
        <w:rPr>
          <w:sz w:val="22"/>
          <w:szCs w:val="22"/>
        </w:rPr>
        <w:t xml:space="preserve">Ing. </w:t>
      </w:r>
      <w:r w:rsidR="00640519">
        <w:rPr>
          <w:sz w:val="22"/>
          <w:szCs w:val="22"/>
        </w:rPr>
        <w:t>Pavel Šindelář</w:t>
      </w:r>
      <w:r w:rsidR="00413D9B">
        <w:rPr>
          <w:sz w:val="22"/>
          <w:szCs w:val="22"/>
        </w:rPr>
        <w:t xml:space="preserve">, vedoucí oddělení </w:t>
      </w:r>
      <w:r w:rsidR="00640519">
        <w:rPr>
          <w:sz w:val="22"/>
          <w:szCs w:val="22"/>
        </w:rPr>
        <w:t>IT</w:t>
      </w:r>
      <w:r w:rsidR="00AB3FAE">
        <w:rPr>
          <w:sz w:val="22"/>
          <w:szCs w:val="22"/>
        </w:rPr>
        <w:t xml:space="preserve"> </w:t>
      </w:r>
    </w:p>
    <w:p w14:paraId="5B204657" w14:textId="482EDDDF" w:rsidR="00E67CC1" w:rsidRPr="002F5A3C" w:rsidRDefault="00884676" w:rsidP="00E67CC1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</w:t>
      </w:r>
      <w:r w:rsidR="00E67CC1" w:rsidRPr="002F5A3C">
        <w:rPr>
          <w:sz w:val="22"/>
          <w:szCs w:val="22"/>
        </w:rPr>
        <w:t>Tel.</w:t>
      </w:r>
      <w:r w:rsidR="004939BD">
        <w:rPr>
          <w:sz w:val="22"/>
          <w:szCs w:val="22"/>
        </w:rPr>
        <w:tab/>
      </w:r>
      <w:r w:rsidR="004939BD">
        <w:rPr>
          <w:sz w:val="22"/>
          <w:szCs w:val="22"/>
        </w:rPr>
        <w:tab/>
      </w:r>
      <w:r w:rsidR="00EF7F8A" w:rsidRPr="002F5A3C">
        <w:rPr>
          <w:sz w:val="22"/>
          <w:szCs w:val="22"/>
        </w:rPr>
        <w:t xml:space="preserve"> </w:t>
      </w:r>
      <w:r w:rsidR="00EF7F8A" w:rsidRPr="002F5A3C">
        <w:rPr>
          <w:sz w:val="22"/>
          <w:szCs w:val="22"/>
        </w:rPr>
        <w:tab/>
      </w:r>
      <w:r w:rsidR="00EF7F8A" w:rsidRPr="002F5A3C">
        <w:rPr>
          <w:sz w:val="22"/>
          <w:szCs w:val="22"/>
        </w:rPr>
        <w:tab/>
      </w:r>
      <w:r w:rsidR="00AB3FAE">
        <w:rPr>
          <w:sz w:val="22"/>
          <w:szCs w:val="22"/>
        </w:rPr>
        <w:t>+420 </w:t>
      </w:r>
      <w:r w:rsidR="00640519" w:rsidRPr="0036422A">
        <w:rPr>
          <w:sz w:val="22"/>
          <w:szCs w:val="22"/>
        </w:rPr>
        <w:t>606</w:t>
      </w:r>
      <w:r w:rsidR="00640519">
        <w:rPr>
          <w:sz w:val="22"/>
          <w:szCs w:val="22"/>
        </w:rPr>
        <w:t> </w:t>
      </w:r>
      <w:r w:rsidR="00640519" w:rsidRPr="0036422A">
        <w:rPr>
          <w:sz w:val="22"/>
          <w:szCs w:val="22"/>
        </w:rPr>
        <w:t>619</w:t>
      </w:r>
      <w:r w:rsidR="00640519">
        <w:rPr>
          <w:sz w:val="22"/>
          <w:szCs w:val="22"/>
        </w:rPr>
        <w:t xml:space="preserve"> </w:t>
      </w:r>
      <w:r w:rsidR="00640519" w:rsidRPr="0036422A">
        <w:rPr>
          <w:sz w:val="22"/>
          <w:szCs w:val="22"/>
        </w:rPr>
        <w:t>207</w:t>
      </w:r>
    </w:p>
    <w:p w14:paraId="5B204658" w14:textId="2717A585" w:rsidR="00883F77" w:rsidRPr="002F5A3C" w:rsidRDefault="00883F77" w:rsidP="00883F77">
      <w:pPr>
        <w:pStyle w:val="Podnadpis"/>
        <w:ind w:left="360"/>
        <w:jc w:val="both"/>
        <w:rPr>
          <w:sz w:val="22"/>
          <w:szCs w:val="22"/>
        </w:rPr>
      </w:pPr>
      <w:r w:rsidRPr="002F5A3C">
        <w:rPr>
          <w:sz w:val="22"/>
          <w:szCs w:val="22"/>
        </w:rPr>
        <w:t xml:space="preserve">E-mail: 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="00640519">
        <w:t>sindelar</w:t>
      </w:r>
      <w:r w:rsidR="00413D9B">
        <w:t>@pmdp.cz</w:t>
      </w:r>
      <w:r w:rsidR="00AB3FAE">
        <w:rPr>
          <w:rStyle w:val="Hypertextovodkaz"/>
          <w:sz w:val="22"/>
          <w:szCs w:val="22"/>
        </w:rPr>
        <w:t xml:space="preserve"> </w:t>
      </w:r>
      <w:r w:rsidR="002F5A3C">
        <w:rPr>
          <w:sz w:val="22"/>
          <w:szCs w:val="22"/>
        </w:rPr>
        <w:t xml:space="preserve"> </w:t>
      </w:r>
      <w:r w:rsidR="0063404A" w:rsidRPr="002F5A3C">
        <w:rPr>
          <w:sz w:val="22"/>
          <w:szCs w:val="22"/>
        </w:rPr>
        <w:t xml:space="preserve"> </w:t>
      </w:r>
    </w:p>
    <w:p w14:paraId="1BC5B88C" w14:textId="447C8E91" w:rsidR="002831A1" w:rsidRPr="002831A1" w:rsidRDefault="002831A1" w:rsidP="002831A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</w:t>
      </w:r>
      <w:r w:rsidRPr="002831A1">
        <w:rPr>
          <w:sz w:val="22"/>
          <w:szCs w:val="22"/>
        </w:rPr>
        <w:t>ále jen „Kupující“</w:t>
      </w:r>
    </w:p>
    <w:p w14:paraId="5B20465B" w14:textId="61051A10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5B20465E" w14:textId="11B8C505" w:rsidR="007875A2" w:rsidRPr="008A326D" w:rsidRDefault="002F5A3C" w:rsidP="000F5BF2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8A326D">
        <w:rPr>
          <w:rFonts w:eastAsia="MS Mincho"/>
          <w:sz w:val="24"/>
          <w:szCs w:val="24"/>
          <w:lang w:eastAsia="cs-CZ"/>
        </w:rPr>
        <w:t>R</w:t>
      </w:r>
      <w:r w:rsidR="007875A2" w:rsidRPr="008A326D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8A326D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8A326D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8A326D">
        <w:rPr>
          <w:rFonts w:eastAsia="MS Mincho"/>
          <w:sz w:val="24"/>
          <w:szCs w:val="24"/>
          <w:lang w:eastAsia="cs-CZ"/>
        </w:rPr>
        <w:t xml:space="preserve"> </w:t>
      </w:r>
      <w:r w:rsidR="00DD7B02">
        <w:rPr>
          <w:rFonts w:eastAsia="MS Mincho"/>
          <w:sz w:val="24"/>
          <w:szCs w:val="24"/>
          <w:lang w:eastAsia="cs-CZ"/>
        </w:rPr>
        <w:t xml:space="preserve">poptávkového řízení </w:t>
      </w:r>
      <w:r w:rsidR="007875A2" w:rsidRPr="008A326D">
        <w:rPr>
          <w:rFonts w:eastAsia="MS Mincho"/>
          <w:sz w:val="24"/>
          <w:szCs w:val="24"/>
          <w:lang w:eastAsia="cs-CZ"/>
        </w:rPr>
        <w:t>„</w:t>
      </w:r>
      <w:r w:rsidR="00DD7B02" w:rsidRPr="00DD7B02">
        <w:rPr>
          <w:rFonts w:eastAsia="MS Mincho"/>
          <w:b/>
          <w:sz w:val="24"/>
          <w:szCs w:val="24"/>
          <w:lang w:eastAsia="cs-CZ"/>
        </w:rPr>
        <w:t xml:space="preserve">Průběžné dodávky mobilních telefonů </w:t>
      </w:r>
      <w:r w:rsidR="00304B14">
        <w:rPr>
          <w:rFonts w:eastAsia="MS Mincho"/>
          <w:b/>
          <w:sz w:val="24"/>
          <w:szCs w:val="24"/>
          <w:lang w:eastAsia="cs-CZ"/>
        </w:rPr>
        <w:t xml:space="preserve">a tabletů </w:t>
      </w:r>
      <w:r w:rsidR="00DD7B02" w:rsidRPr="00DD7B02">
        <w:rPr>
          <w:rFonts w:eastAsia="MS Mincho"/>
          <w:b/>
          <w:sz w:val="24"/>
          <w:szCs w:val="24"/>
          <w:lang w:eastAsia="cs-CZ"/>
        </w:rPr>
        <w:t>včetně příslušenství</w:t>
      </w:r>
      <w:r w:rsidR="00C6275C" w:rsidRPr="008A326D">
        <w:rPr>
          <w:rFonts w:eastAsia="MS Mincho"/>
          <w:sz w:val="24"/>
          <w:szCs w:val="24"/>
          <w:lang w:eastAsia="cs-CZ"/>
        </w:rPr>
        <w:t>“</w:t>
      </w:r>
      <w:r w:rsidR="002831A1">
        <w:rPr>
          <w:rFonts w:eastAsia="MS Mincho"/>
          <w:sz w:val="24"/>
          <w:szCs w:val="24"/>
          <w:lang w:eastAsia="cs-CZ"/>
        </w:rPr>
        <w:t xml:space="preserve"> (dále jen</w:t>
      </w:r>
      <w:r w:rsidR="00304B14">
        <w:rPr>
          <w:rFonts w:eastAsia="MS Mincho"/>
          <w:sz w:val="24"/>
          <w:szCs w:val="24"/>
          <w:lang w:eastAsia="cs-CZ"/>
        </w:rPr>
        <w:t xml:space="preserve"> „Rámcová kupní smlouva“ nebo „</w:t>
      </w:r>
      <w:r w:rsidR="002831A1">
        <w:rPr>
          <w:rFonts w:eastAsia="MS Mincho"/>
          <w:sz w:val="24"/>
          <w:szCs w:val="24"/>
          <w:lang w:eastAsia="cs-CZ"/>
        </w:rPr>
        <w:t>Smlouva</w:t>
      </w:r>
      <w:r w:rsidR="00304B14">
        <w:rPr>
          <w:rFonts w:eastAsia="MS Mincho"/>
          <w:sz w:val="24"/>
          <w:szCs w:val="24"/>
          <w:lang w:eastAsia="cs-CZ"/>
        </w:rPr>
        <w:t>“</w:t>
      </w:r>
      <w:r w:rsidR="002831A1">
        <w:rPr>
          <w:rFonts w:eastAsia="MS Mincho"/>
          <w:sz w:val="24"/>
          <w:szCs w:val="24"/>
          <w:lang w:eastAsia="cs-CZ"/>
        </w:rPr>
        <w:t>)</w:t>
      </w:r>
      <w:r w:rsidR="00C6275C" w:rsidRPr="008A326D">
        <w:rPr>
          <w:rFonts w:eastAsia="MS Mincho"/>
          <w:sz w:val="24"/>
          <w:szCs w:val="24"/>
          <w:lang w:eastAsia="cs-CZ"/>
        </w:rPr>
        <w:t>.</w:t>
      </w:r>
      <w:r w:rsidR="00905679" w:rsidRPr="008A326D">
        <w:rPr>
          <w:rFonts w:eastAsia="MS Mincho"/>
          <w:sz w:val="24"/>
          <w:szCs w:val="24"/>
          <w:lang w:eastAsia="cs-CZ"/>
        </w:rPr>
        <w:t xml:space="preserve"> </w:t>
      </w:r>
    </w:p>
    <w:p w14:paraId="5B20465F" w14:textId="47BBA2CC" w:rsidR="00E31585" w:rsidRDefault="002F5A3C" w:rsidP="008A326D">
      <w:pPr>
        <w:suppressAutoHyphens w:val="0"/>
        <w:spacing w:after="120"/>
        <w:ind w:left="426"/>
        <w:jc w:val="both"/>
        <w:rPr>
          <w:rFonts w:eastAsia="MS Mincho"/>
          <w:sz w:val="24"/>
          <w:szCs w:val="24"/>
          <w:lang w:eastAsia="cs-CZ"/>
        </w:rPr>
      </w:pPr>
      <w:r w:rsidRPr="008A326D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8A326D">
        <w:rPr>
          <w:rFonts w:eastAsia="MS Mincho"/>
          <w:sz w:val="24"/>
          <w:szCs w:val="24"/>
          <w:lang w:eastAsia="cs-CZ"/>
        </w:rPr>
        <w:t xml:space="preserve">a základě této </w:t>
      </w:r>
      <w:r w:rsidR="00BC3C8E">
        <w:rPr>
          <w:rFonts w:eastAsia="MS Mincho"/>
          <w:sz w:val="24"/>
          <w:szCs w:val="24"/>
          <w:lang w:eastAsia="cs-CZ"/>
        </w:rPr>
        <w:t>R</w:t>
      </w:r>
      <w:r w:rsidR="007875A2" w:rsidRPr="008A326D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8A326D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8A326D">
        <w:rPr>
          <w:rFonts w:eastAsia="MS Mincho"/>
          <w:sz w:val="24"/>
          <w:szCs w:val="24"/>
          <w:lang w:eastAsia="cs-CZ"/>
        </w:rPr>
        <w:t xml:space="preserve">smlouvy budou </w:t>
      </w:r>
      <w:r w:rsidR="00522C96" w:rsidRPr="008A326D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8A326D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8A326D">
        <w:rPr>
          <w:rFonts w:eastAsia="MS Mincho"/>
          <w:sz w:val="24"/>
          <w:szCs w:val="24"/>
          <w:lang w:eastAsia="cs-CZ"/>
        </w:rPr>
        <w:t>n</w:t>
      </w:r>
      <w:r w:rsidR="005E4A40" w:rsidRPr="008A326D">
        <w:rPr>
          <w:rFonts w:eastAsia="MS Mincho"/>
          <w:sz w:val="24"/>
          <w:szCs w:val="24"/>
          <w:lang w:eastAsia="cs-CZ"/>
        </w:rPr>
        <w:t>ávky)</w:t>
      </w:r>
      <w:r w:rsidR="00522C96" w:rsidRPr="008A326D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2831A1">
        <w:rPr>
          <w:rFonts w:eastAsia="MS Mincho"/>
          <w:sz w:val="24"/>
          <w:szCs w:val="24"/>
          <w:lang w:eastAsia="cs-CZ"/>
        </w:rPr>
        <w:t>nových</w:t>
      </w:r>
      <w:r w:rsidR="00F173D8">
        <w:rPr>
          <w:rFonts w:eastAsia="MS Mincho"/>
          <w:sz w:val="24"/>
          <w:szCs w:val="24"/>
          <w:lang w:eastAsia="cs-CZ"/>
        </w:rPr>
        <w:t>, nepoužitých</w:t>
      </w:r>
      <w:r w:rsidR="002831A1">
        <w:rPr>
          <w:rFonts w:eastAsia="MS Mincho"/>
          <w:sz w:val="24"/>
          <w:szCs w:val="24"/>
          <w:lang w:eastAsia="cs-CZ"/>
        </w:rPr>
        <w:t xml:space="preserve"> </w:t>
      </w:r>
      <w:r w:rsidR="00DD7B02">
        <w:rPr>
          <w:rFonts w:eastAsia="MS Mincho"/>
          <w:sz w:val="24"/>
          <w:szCs w:val="24"/>
          <w:lang w:eastAsia="cs-CZ"/>
        </w:rPr>
        <w:t xml:space="preserve">mobilních telefonů </w:t>
      </w:r>
      <w:r w:rsidR="00304B14">
        <w:rPr>
          <w:rFonts w:eastAsia="MS Mincho"/>
          <w:sz w:val="24"/>
          <w:szCs w:val="24"/>
          <w:lang w:eastAsia="cs-CZ"/>
        </w:rPr>
        <w:t xml:space="preserve">a tabletů </w:t>
      </w:r>
      <w:r w:rsidR="00DD7B02">
        <w:rPr>
          <w:rFonts w:eastAsia="MS Mincho"/>
          <w:sz w:val="24"/>
          <w:szCs w:val="24"/>
          <w:lang w:eastAsia="cs-CZ"/>
        </w:rPr>
        <w:t>včetně příslušenství</w:t>
      </w:r>
      <w:r w:rsidR="00F173D8">
        <w:rPr>
          <w:rFonts w:eastAsia="MS Mincho"/>
          <w:sz w:val="24"/>
          <w:szCs w:val="24"/>
          <w:lang w:eastAsia="cs-CZ"/>
        </w:rPr>
        <w:t xml:space="preserve"> určených pro trh v ČR</w:t>
      </w:r>
      <w:r w:rsidR="00DD7B02">
        <w:rPr>
          <w:rFonts w:eastAsia="MS Mincho"/>
          <w:sz w:val="24"/>
          <w:szCs w:val="24"/>
          <w:lang w:eastAsia="cs-CZ"/>
        </w:rPr>
        <w:t xml:space="preserve"> </w:t>
      </w:r>
      <w:r w:rsidR="00883F77" w:rsidRPr="008A326D">
        <w:rPr>
          <w:rFonts w:eastAsia="MS Mincho"/>
          <w:sz w:val="24"/>
          <w:szCs w:val="24"/>
          <w:lang w:eastAsia="cs-CZ"/>
        </w:rPr>
        <w:t xml:space="preserve">(dále jen </w:t>
      </w:r>
      <w:r w:rsidR="00DD7B02">
        <w:rPr>
          <w:rFonts w:eastAsia="MS Mincho"/>
          <w:sz w:val="24"/>
          <w:szCs w:val="24"/>
          <w:lang w:eastAsia="cs-CZ"/>
        </w:rPr>
        <w:t>„</w:t>
      </w:r>
      <w:r w:rsidR="00E57B20" w:rsidRPr="008A326D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8A326D">
        <w:rPr>
          <w:rFonts w:eastAsia="MS Mincho"/>
          <w:sz w:val="24"/>
          <w:szCs w:val="24"/>
          <w:lang w:eastAsia="cs-CZ"/>
        </w:rPr>
        <w:t>“</w:t>
      </w:r>
      <w:r w:rsidR="00883F77" w:rsidRPr="008A326D">
        <w:rPr>
          <w:rFonts w:eastAsia="MS Mincho"/>
          <w:sz w:val="24"/>
          <w:szCs w:val="24"/>
          <w:lang w:eastAsia="cs-CZ"/>
        </w:rPr>
        <w:t>)</w:t>
      </w:r>
      <w:r w:rsidR="00BC3C8E">
        <w:rPr>
          <w:rFonts w:eastAsia="MS Mincho"/>
          <w:sz w:val="24"/>
          <w:szCs w:val="24"/>
          <w:lang w:eastAsia="cs-CZ"/>
        </w:rPr>
        <w:t>.</w:t>
      </w:r>
    </w:p>
    <w:p w14:paraId="5B204660" w14:textId="456A581C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Smlouvy </w:t>
      </w:r>
      <w:r w:rsidR="00DD7B02">
        <w:rPr>
          <w:rFonts w:eastAsia="MS Mincho"/>
          <w:sz w:val="24"/>
          <w:szCs w:val="24"/>
          <w:lang w:eastAsia="cs-CZ"/>
        </w:rPr>
        <w:t>dodat</w:t>
      </w:r>
      <w:r w:rsidR="00304B14">
        <w:rPr>
          <w:rFonts w:eastAsia="MS Mincho"/>
          <w:sz w:val="24"/>
          <w:szCs w:val="24"/>
          <w:lang w:eastAsia="cs-CZ"/>
        </w:rPr>
        <w:t xml:space="preserve"> Zboží ze sortimentu Prodávajícího</w:t>
      </w:r>
      <w:r w:rsidR="008C1BF7">
        <w:rPr>
          <w:rFonts w:eastAsia="MS Mincho"/>
          <w:sz w:val="24"/>
          <w:szCs w:val="24"/>
          <w:lang w:eastAsia="cs-CZ"/>
        </w:rPr>
        <w:t xml:space="preserve">, </w:t>
      </w:r>
      <w:r w:rsidR="00985795">
        <w:rPr>
          <w:rFonts w:eastAsia="MS Mincho"/>
          <w:sz w:val="24"/>
          <w:szCs w:val="24"/>
          <w:lang w:eastAsia="cs-CZ"/>
        </w:rPr>
        <w:t>a to</w:t>
      </w:r>
      <w:r w:rsidR="005E1A99">
        <w:rPr>
          <w:rFonts w:eastAsia="MS Mincho"/>
          <w:sz w:val="24"/>
          <w:szCs w:val="24"/>
          <w:lang w:eastAsia="cs-CZ"/>
        </w:rPr>
        <w:t xml:space="preserve"> za cenu platnou v okamžik objednání </w:t>
      </w:r>
      <w:r w:rsidR="00304B14">
        <w:rPr>
          <w:rFonts w:eastAsia="MS Mincho"/>
          <w:sz w:val="24"/>
          <w:szCs w:val="24"/>
          <w:lang w:eastAsia="cs-CZ"/>
        </w:rPr>
        <w:t>Z</w:t>
      </w:r>
      <w:r w:rsidR="005E1A99">
        <w:rPr>
          <w:rFonts w:eastAsia="MS Mincho"/>
          <w:sz w:val="24"/>
          <w:szCs w:val="24"/>
          <w:lang w:eastAsia="cs-CZ"/>
        </w:rPr>
        <w:t xml:space="preserve">boží. </w:t>
      </w:r>
      <w:r w:rsidR="00304B14">
        <w:rPr>
          <w:rFonts w:eastAsia="MS Mincho"/>
          <w:sz w:val="24"/>
          <w:szCs w:val="24"/>
          <w:lang w:eastAsia="cs-CZ"/>
        </w:rPr>
        <w:t>Kupující bude provádět objednávky Zboží od toho Prodávajícího, jehož kupní cena Zboží bude v okamžiku činění objednávky nejnižší.</w:t>
      </w:r>
      <w:r w:rsidR="008C1BF7">
        <w:rPr>
          <w:rFonts w:eastAsia="MS Mincho"/>
          <w:sz w:val="24"/>
          <w:szCs w:val="24"/>
          <w:lang w:eastAsia="cs-CZ"/>
        </w:rPr>
        <w:t>.</w:t>
      </w:r>
      <w:r w:rsidR="00637895">
        <w:rPr>
          <w:rFonts w:eastAsia="MS Mincho"/>
          <w:sz w:val="24"/>
          <w:szCs w:val="24"/>
          <w:lang w:eastAsia="cs-CZ"/>
        </w:rPr>
        <w:t xml:space="preserve"> </w:t>
      </w:r>
      <w:r w:rsidR="008C1BF7">
        <w:rPr>
          <w:rFonts w:eastAsia="MS Mincho"/>
          <w:sz w:val="24"/>
          <w:szCs w:val="24"/>
          <w:lang w:eastAsia="cs-CZ"/>
        </w:rPr>
        <w:t xml:space="preserve"> </w:t>
      </w:r>
      <w:r>
        <w:rPr>
          <w:rFonts w:eastAsia="MS Mincho"/>
          <w:sz w:val="24"/>
          <w:szCs w:val="24"/>
          <w:lang w:eastAsia="cs-CZ"/>
        </w:rPr>
        <w:t xml:space="preserve">   </w:t>
      </w:r>
    </w:p>
    <w:p w14:paraId="292AC5AA" w14:textId="4BD1987F" w:rsidR="00985795" w:rsidRDefault="00304B14" w:rsidP="000F5BF2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>Rámcová s</w:t>
      </w:r>
      <w:r w:rsidR="007875A2" w:rsidRPr="008A326D">
        <w:rPr>
          <w:rFonts w:eastAsia="MS Mincho"/>
          <w:sz w:val="24"/>
          <w:szCs w:val="24"/>
          <w:lang w:eastAsia="cs-CZ"/>
        </w:rPr>
        <w:t xml:space="preserve">pecifikace </w:t>
      </w:r>
      <w:r>
        <w:rPr>
          <w:rFonts w:eastAsia="MS Mincho"/>
          <w:sz w:val="24"/>
          <w:szCs w:val="24"/>
          <w:lang w:eastAsia="cs-CZ"/>
        </w:rPr>
        <w:t xml:space="preserve">Zboží </w:t>
      </w:r>
      <w:r w:rsidR="007875A2" w:rsidRPr="008A326D">
        <w:rPr>
          <w:rFonts w:eastAsia="MS Mincho"/>
          <w:sz w:val="24"/>
          <w:szCs w:val="24"/>
          <w:lang w:eastAsia="cs-CZ"/>
        </w:rPr>
        <w:t>je uvedena v</w:t>
      </w:r>
      <w:r w:rsidR="00653B46">
        <w:rPr>
          <w:rFonts w:eastAsia="MS Mincho"/>
          <w:sz w:val="24"/>
          <w:szCs w:val="24"/>
          <w:lang w:eastAsia="cs-CZ"/>
        </w:rPr>
        <w:t> dokumentaci poptávkového řízení</w:t>
      </w:r>
      <w:r>
        <w:rPr>
          <w:rFonts w:eastAsia="MS Mincho"/>
          <w:sz w:val="24"/>
          <w:szCs w:val="24"/>
          <w:lang w:eastAsia="cs-CZ"/>
        </w:rPr>
        <w:t>,</w:t>
      </w:r>
      <w:r w:rsidR="00653B46">
        <w:rPr>
          <w:rFonts w:eastAsia="MS Mincho"/>
          <w:sz w:val="24"/>
          <w:szCs w:val="24"/>
          <w:lang w:eastAsia="cs-CZ"/>
        </w:rPr>
        <w:t xml:space="preserve"> které předcházelo uzavření této Rámcové kupní smlouvy,</w:t>
      </w:r>
      <w:r>
        <w:rPr>
          <w:rFonts w:eastAsia="MS Mincho"/>
          <w:sz w:val="24"/>
          <w:szCs w:val="24"/>
          <w:lang w:eastAsia="cs-CZ"/>
        </w:rPr>
        <w:t xml:space="preserve"> nicméně platí, že Kupující je oprávněn objednat u Prodávajícího i jiný typ Zboží dostupný na trhu</w:t>
      </w:r>
      <w:r w:rsidR="00BC3C8E">
        <w:rPr>
          <w:rFonts w:eastAsia="MS Mincho"/>
          <w:sz w:val="24"/>
          <w:szCs w:val="24"/>
          <w:lang w:eastAsia="cs-CZ"/>
        </w:rPr>
        <w:t>.</w:t>
      </w:r>
    </w:p>
    <w:p w14:paraId="5B204661" w14:textId="09CA0C13" w:rsidR="0094150B" w:rsidRPr="008A326D" w:rsidRDefault="00BC3C8E" w:rsidP="00985795">
      <w:pPr>
        <w:suppressAutoHyphens w:val="0"/>
        <w:spacing w:after="120"/>
        <w:ind w:left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 </w:t>
      </w:r>
      <w:r w:rsidR="002F5A3C" w:rsidRPr="008A326D">
        <w:rPr>
          <w:rFonts w:eastAsia="MS Mincho"/>
          <w:sz w:val="24"/>
          <w:szCs w:val="24"/>
          <w:lang w:eastAsia="cs-CZ"/>
        </w:rPr>
        <w:t xml:space="preserve"> </w:t>
      </w: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4B6B7A63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</w:t>
      </w:r>
      <w:r w:rsidR="00985795">
        <w:rPr>
          <w:b/>
          <w:sz w:val="24"/>
          <w:szCs w:val="24"/>
        </w:rPr>
        <w:t>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24631646" w14:textId="656331B7" w:rsidR="00743215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5211E1" w:rsidRPr="007A4F38">
        <w:rPr>
          <w:rFonts w:eastAsia="MS Mincho"/>
          <w:sz w:val="24"/>
          <w:szCs w:val="24"/>
          <w:lang w:eastAsia="cs-CZ"/>
        </w:rPr>
        <w:t>je</w:t>
      </w:r>
      <w:r w:rsidR="00985795">
        <w:rPr>
          <w:rFonts w:eastAsia="MS Mincho"/>
          <w:sz w:val="24"/>
          <w:szCs w:val="24"/>
          <w:lang w:eastAsia="cs-CZ"/>
        </w:rPr>
        <w:t xml:space="preserve"> oprávněn odebrat od Prodávajícího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743215">
        <w:rPr>
          <w:rFonts w:eastAsia="MS Mincho"/>
          <w:sz w:val="24"/>
          <w:szCs w:val="24"/>
          <w:lang w:eastAsia="cs-CZ"/>
        </w:rPr>
        <w:t xml:space="preserve"> – objednávky učiněné na e-shopu Prodávajícího.</w:t>
      </w:r>
      <w:r w:rsidR="003E0E93">
        <w:rPr>
          <w:rFonts w:eastAsia="MS Mincho"/>
          <w:sz w:val="24"/>
          <w:szCs w:val="24"/>
          <w:lang w:eastAsia="cs-CZ"/>
        </w:rPr>
        <w:t xml:space="preserve"> </w:t>
      </w:r>
      <w:r w:rsidR="003E0E93" w:rsidRPr="003E0E93">
        <w:rPr>
          <w:rFonts w:eastAsia="MS Mincho"/>
          <w:sz w:val="24"/>
          <w:szCs w:val="24"/>
          <w:lang w:eastAsia="cs-CZ"/>
        </w:rPr>
        <w:t>Konkrétní objednávky budou r</w:t>
      </w:r>
      <w:r w:rsidR="003E0E93">
        <w:rPr>
          <w:rFonts w:eastAsia="MS Mincho"/>
          <w:sz w:val="24"/>
          <w:szCs w:val="24"/>
          <w:lang w:eastAsia="cs-CZ"/>
        </w:rPr>
        <w:t>e</w:t>
      </w:r>
      <w:r w:rsidR="003E0E93" w:rsidRPr="003E0E93">
        <w:rPr>
          <w:rFonts w:eastAsia="MS Mincho"/>
          <w:sz w:val="24"/>
          <w:szCs w:val="24"/>
          <w:lang w:eastAsia="cs-CZ"/>
        </w:rPr>
        <w:t xml:space="preserve">alizovány u toho </w:t>
      </w:r>
      <w:r w:rsidR="003E0E93">
        <w:rPr>
          <w:rFonts w:eastAsia="MS Mincho"/>
          <w:sz w:val="24"/>
          <w:szCs w:val="24"/>
          <w:lang w:eastAsia="cs-CZ"/>
        </w:rPr>
        <w:t>Prodávajícího</w:t>
      </w:r>
      <w:r w:rsidR="003E0E93" w:rsidRPr="003E0E93">
        <w:rPr>
          <w:rFonts w:eastAsia="MS Mincho"/>
          <w:sz w:val="24"/>
          <w:szCs w:val="24"/>
          <w:lang w:eastAsia="cs-CZ"/>
        </w:rPr>
        <w:t xml:space="preserve">, </w:t>
      </w:r>
      <w:r w:rsidR="005B6D35">
        <w:rPr>
          <w:rFonts w:eastAsia="MS Mincho"/>
          <w:sz w:val="24"/>
          <w:szCs w:val="24"/>
          <w:lang w:eastAsia="cs-CZ"/>
        </w:rPr>
        <w:t>který má v okamžik objednávání Z</w:t>
      </w:r>
      <w:r w:rsidR="003E0E93" w:rsidRPr="003E0E93">
        <w:rPr>
          <w:rFonts w:eastAsia="MS Mincho"/>
          <w:sz w:val="24"/>
          <w:szCs w:val="24"/>
          <w:lang w:eastAsia="cs-CZ"/>
        </w:rPr>
        <w:t>boží nejnižší cenu.</w:t>
      </w:r>
      <w:r w:rsidR="003A2FAD">
        <w:rPr>
          <w:rFonts w:eastAsia="MS Mincho"/>
          <w:sz w:val="24"/>
          <w:szCs w:val="24"/>
          <w:lang w:eastAsia="cs-CZ"/>
        </w:rPr>
        <w:t xml:space="preserve"> Nebude</w:t>
      </w:r>
      <w:r w:rsidR="005B6D35">
        <w:rPr>
          <w:rFonts w:eastAsia="MS Mincho"/>
          <w:sz w:val="24"/>
          <w:szCs w:val="24"/>
          <w:lang w:eastAsia="cs-CZ"/>
        </w:rPr>
        <w:t>-li u Prodávajícího požadované Z</w:t>
      </w:r>
      <w:r w:rsidR="003A2FAD">
        <w:rPr>
          <w:rFonts w:eastAsia="MS Mincho"/>
          <w:sz w:val="24"/>
          <w:szCs w:val="24"/>
          <w:lang w:eastAsia="cs-CZ"/>
        </w:rPr>
        <w:t>boží skladem a je v daný okamžik nejlevnější, má Kupující právo objednat u jiného Prodávajícího, a to i když má v daný okamžik vyšší cenu.</w:t>
      </w:r>
    </w:p>
    <w:p w14:paraId="2EFA6287" w14:textId="27663664" w:rsidR="001A4978" w:rsidRDefault="001A4978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>Objednávky budou realizovat minimálně dvě pověřené osoby Kupujícího</w:t>
      </w:r>
      <w:r w:rsidR="00023224">
        <w:rPr>
          <w:rFonts w:eastAsia="MS Mincho"/>
          <w:sz w:val="24"/>
          <w:szCs w:val="24"/>
          <w:lang w:eastAsia="cs-CZ"/>
        </w:rPr>
        <w:t xml:space="preserve"> (každá samostatně)</w:t>
      </w:r>
      <w:r>
        <w:rPr>
          <w:rFonts w:eastAsia="MS Mincho"/>
          <w:sz w:val="24"/>
          <w:szCs w:val="24"/>
          <w:lang w:eastAsia="cs-CZ"/>
        </w:rPr>
        <w:t>, pro které Prodávající zřídí jmenné účty a vystaví přístupová hesla do e-shopu, a to nejpozději do dvou (2) pracovních dnů od zaslání seznamu objednatelů, či zvláštního požadavku kontaktní osoby Kupujícího uvedeného v záhlaví této smlouvy. Po přihlášení do e-shopu budou zobrazeny ceny platné pro Kupují</w:t>
      </w:r>
      <w:r w:rsidR="00304B14">
        <w:rPr>
          <w:rFonts w:eastAsia="MS Mincho"/>
          <w:sz w:val="24"/>
          <w:szCs w:val="24"/>
          <w:lang w:eastAsia="cs-CZ"/>
        </w:rPr>
        <w:t>cí</w:t>
      </w:r>
      <w:r>
        <w:rPr>
          <w:rFonts w:eastAsia="MS Mincho"/>
          <w:sz w:val="24"/>
          <w:szCs w:val="24"/>
          <w:lang w:eastAsia="cs-CZ"/>
        </w:rPr>
        <w:t>ho</w:t>
      </w:r>
      <w:r w:rsidR="00304B14">
        <w:rPr>
          <w:rFonts w:eastAsia="MS Mincho"/>
          <w:sz w:val="24"/>
          <w:szCs w:val="24"/>
          <w:lang w:eastAsia="cs-CZ"/>
        </w:rPr>
        <w:t>, za podmínek stanovených v dokumentaci poptávkového řízení, které předcházelo uzavření této Smlouvy</w:t>
      </w:r>
      <w:r>
        <w:rPr>
          <w:rFonts w:eastAsia="MS Mincho"/>
          <w:sz w:val="24"/>
          <w:szCs w:val="24"/>
          <w:lang w:eastAsia="cs-CZ"/>
        </w:rPr>
        <w:t>.</w:t>
      </w:r>
    </w:p>
    <w:p w14:paraId="78FC5032" w14:textId="1CE3F7AD" w:rsidR="001A4978" w:rsidRPr="001A4978" w:rsidRDefault="001A4978" w:rsidP="003E0E93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A4978">
        <w:rPr>
          <w:rFonts w:eastAsia="MS Mincho"/>
          <w:sz w:val="24"/>
          <w:szCs w:val="24"/>
          <w:lang w:eastAsia="cs-CZ"/>
        </w:rPr>
        <w:t>Dílčí kupní smlouva</w:t>
      </w:r>
      <w:r w:rsidR="002F5A3C" w:rsidRPr="001A4978">
        <w:rPr>
          <w:rFonts w:eastAsia="MS Mincho"/>
          <w:sz w:val="24"/>
          <w:szCs w:val="24"/>
          <w:lang w:eastAsia="cs-CZ"/>
        </w:rPr>
        <w:t xml:space="preserve"> </w:t>
      </w:r>
      <w:r w:rsidRPr="00B92393">
        <w:rPr>
          <w:rFonts w:eastAsia="MS Mincho"/>
          <w:sz w:val="24"/>
          <w:lang w:eastAsia="cs-CZ"/>
        </w:rPr>
        <w:t>je uzavřena v okamžiku učinění objednávky</w:t>
      </w:r>
      <w:r>
        <w:rPr>
          <w:rFonts w:eastAsia="MS Mincho"/>
          <w:sz w:val="24"/>
          <w:lang w:eastAsia="cs-CZ"/>
        </w:rPr>
        <w:t xml:space="preserve"> oprávněnou osobou Kupujícího,</w:t>
      </w:r>
      <w:r w:rsidRPr="00B92393">
        <w:rPr>
          <w:rFonts w:eastAsia="MS Mincho"/>
          <w:sz w:val="24"/>
          <w:lang w:eastAsia="cs-CZ"/>
        </w:rPr>
        <w:t xml:space="preserve"> </w:t>
      </w:r>
      <w:r>
        <w:rPr>
          <w:rFonts w:eastAsia="MS Mincho"/>
          <w:sz w:val="24"/>
          <w:lang w:eastAsia="cs-CZ"/>
        </w:rPr>
        <w:t xml:space="preserve">prostřednictvím </w:t>
      </w:r>
      <w:r w:rsidRPr="00B92393">
        <w:rPr>
          <w:rFonts w:eastAsia="MS Mincho"/>
          <w:sz w:val="24"/>
          <w:lang w:eastAsia="cs-CZ"/>
        </w:rPr>
        <w:t>e-shop</w:t>
      </w:r>
      <w:r>
        <w:rPr>
          <w:rFonts w:eastAsia="MS Mincho"/>
          <w:sz w:val="24"/>
          <w:lang w:eastAsia="cs-CZ"/>
        </w:rPr>
        <w:t xml:space="preserve">u Prodávajícího. </w:t>
      </w:r>
      <w:r w:rsidRPr="00B92393">
        <w:rPr>
          <w:rFonts w:eastAsia="MS Mincho"/>
          <w:sz w:val="24"/>
          <w:lang w:eastAsia="cs-CZ"/>
        </w:rPr>
        <w:t xml:space="preserve">Pro případ neplnění závazku </w:t>
      </w:r>
      <w:r w:rsidR="00DF38FC">
        <w:rPr>
          <w:rFonts w:eastAsia="MS Mincho"/>
          <w:sz w:val="24"/>
          <w:lang w:eastAsia="cs-CZ"/>
        </w:rPr>
        <w:t>P</w:t>
      </w:r>
      <w:r w:rsidRPr="00B92393">
        <w:rPr>
          <w:rFonts w:eastAsia="MS Mincho"/>
          <w:sz w:val="24"/>
          <w:lang w:eastAsia="cs-CZ"/>
        </w:rPr>
        <w:t xml:space="preserve">rodávajícího plynoucího z objednávky vzniká </w:t>
      </w:r>
      <w:r w:rsidR="00DF38FC">
        <w:rPr>
          <w:rFonts w:eastAsia="MS Mincho"/>
          <w:sz w:val="24"/>
          <w:lang w:eastAsia="cs-CZ"/>
        </w:rPr>
        <w:t>K</w:t>
      </w:r>
      <w:r w:rsidRPr="00B92393">
        <w:rPr>
          <w:rFonts w:eastAsia="MS Mincho"/>
          <w:sz w:val="24"/>
          <w:lang w:eastAsia="cs-CZ"/>
        </w:rPr>
        <w:t>upujícímu právo požadovat vedle smluvní pokuty sjednané níže i náhradu škody</w:t>
      </w:r>
      <w:r w:rsidR="005B6D35">
        <w:rPr>
          <w:rFonts w:eastAsia="MS Mincho"/>
          <w:sz w:val="24"/>
          <w:lang w:eastAsia="cs-CZ"/>
        </w:rPr>
        <w:t>, vzniklé např. nutným nákupem Z</w:t>
      </w:r>
      <w:r w:rsidRPr="00B92393">
        <w:rPr>
          <w:rFonts w:eastAsia="MS Mincho"/>
          <w:sz w:val="24"/>
          <w:lang w:eastAsia="cs-CZ"/>
        </w:rPr>
        <w:t>boží u jiného dodavatele, za vyšší kupní cenu</w:t>
      </w:r>
      <w:r>
        <w:rPr>
          <w:rFonts w:eastAsia="MS Mincho"/>
          <w:sz w:val="24"/>
          <w:lang w:eastAsia="cs-CZ"/>
        </w:rPr>
        <w:t xml:space="preserve">. </w:t>
      </w:r>
    </w:p>
    <w:p w14:paraId="0200C4A4" w14:textId="1A1B4C45" w:rsidR="00F4346B" w:rsidRDefault="00F4346B" w:rsidP="003E0E93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A4978">
        <w:rPr>
          <w:sz w:val="24"/>
          <w:szCs w:val="24"/>
        </w:rPr>
        <w:t xml:space="preserve">Pro vyloučení jakýchkoli pochybnosti smluvní strany shodně potvrzují, že Prodávající nejsou oprávněni </w:t>
      </w:r>
      <w:r w:rsidR="00653B46">
        <w:rPr>
          <w:sz w:val="24"/>
          <w:szCs w:val="24"/>
        </w:rPr>
        <w:t xml:space="preserve">nabízet a </w:t>
      </w:r>
      <w:r w:rsidRPr="001A4978">
        <w:rPr>
          <w:sz w:val="24"/>
          <w:szCs w:val="24"/>
        </w:rPr>
        <w:t xml:space="preserve">dodávat Kupujícímu </w:t>
      </w:r>
      <w:r w:rsidR="00653B46">
        <w:rPr>
          <w:sz w:val="24"/>
          <w:szCs w:val="24"/>
        </w:rPr>
        <w:t>Zboží</w:t>
      </w:r>
      <w:r w:rsidRPr="001A4978">
        <w:rPr>
          <w:sz w:val="24"/>
          <w:szCs w:val="24"/>
        </w:rPr>
        <w:t xml:space="preserve"> za ceny vyšší, než</w:t>
      </w:r>
      <w:r w:rsidR="00653B46">
        <w:rPr>
          <w:sz w:val="24"/>
          <w:szCs w:val="24"/>
        </w:rPr>
        <w:t xml:space="preserve"> jaké byly uvedeny v cenové nabídce Prodávajících podané v poptávkovém řízení, které předcházelo uzavření této Rámcové kupní smlouvy, nejedná-li se o objektivní </w:t>
      </w:r>
      <w:r w:rsidR="0036463C">
        <w:rPr>
          <w:sz w:val="24"/>
          <w:szCs w:val="24"/>
        </w:rPr>
        <w:t>změnu situace</w:t>
      </w:r>
      <w:r w:rsidR="00653B46">
        <w:rPr>
          <w:sz w:val="24"/>
          <w:szCs w:val="24"/>
        </w:rPr>
        <w:t xml:space="preserve"> na trhu</w:t>
      </w:r>
      <w:r w:rsidRPr="001A4978">
        <w:rPr>
          <w:sz w:val="24"/>
          <w:szCs w:val="24"/>
        </w:rPr>
        <w:t xml:space="preserve">. </w:t>
      </w:r>
    </w:p>
    <w:p w14:paraId="1BD2C524" w14:textId="667B2872" w:rsidR="00F173D8" w:rsidRDefault="00F173D8" w:rsidP="003E0E93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adresa pro zaslání automaticky vygenerovaného notifikačního e-mailu, pro potvrzení objednávky učiněné na e-shopu, bude vždy na e-mail pověřené osoby Kupujícího, která objednávku na e-shopu vytvoří. Případná změna e-mailu bude ihned oznámena písemně kontaktním osobám uvedeným v záhlaví této smlouvy.</w:t>
      </w:r>
    </w:p>
    <w:p w14:paraId="17BBAEDD" w14:textId="6CB04058" w:rsidR="00F80A37" w:rsidRDefault="00F80A37" w:rsidP="007A4F38">
      <w:pPr>
        <w:ind w:left="426" w:hanging="426"/>
        <w:jc w:val="center"/>
        <w:rPr>
          <w:b/>
          <w:sz w:val="24"/>
          <w:szCs w:val="24"/>
        </w:rPr>
      </w:pPr>
    </w:p>
    <w:p w14:paraId="5B20467A" w14:textId="655C0F16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7419B533" w14:textId="32FA5EDA" w:rsidR="00F40BAF" w:rsidRDefault="00006F3C" w:rsidP="00C33D50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se zavazuje dodávat </w:t>
      </w:r>
      <w:r w:rsidR="00F40BAF">
        <w:rPr>
          <w:sz w:val="24"/>
          <w:szCs w:val="24"/>
        </w:rPr>
        <w:t>K</w:t>
      </w:r>
      <w:r w:rsidRPr="00AE3861">
        <w:rPr>
          <w:sz w:val="24"/>
          <w:szCs w:val="24"/>
        </w:rPr>
        <w:t xml:space="preserve">upujícímu </w:t>
      </w:r>
      <w:r w:rsidR="00C33D50">
        <w:rPr>
          <w:sz w:val="24"/>
          <w:szCs w:val="24"/>
        </w:rPr>
        <w:t>na základě této Smlouvy</w:t>
      </w:r>
      <w:r w:rsidR="00F173D8">
        <w:rPr>
          <w:sz w:val="24"/>
          <w:szCs w:val="24"/>
        </w:rPr>
        <w:t xml:space="preserve"> Zboží</w:t>
      </w:r>
      <w:r w:rsidR="00E31E13" w:rsidRPr="00AE3861">
        <w:rPr>
          <w:sz w:val="24"/>
          <w:szCs w:val="24"/>
        </w:rPr>
        <w:t>,</w:t>
      </w:r>
      <w:r w:rsidR="00BE1CE0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určen</w:t>
      </w:r>
      <w:r w:rsidR="00E31E13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co do m</w:t>
      </w:r>
      <w:r w:rsidR="00F40BAF">
        <w:rPr>
          <w:sz w:val="24"/>
          <w:szCs w:val="24"/>
        </w:rPr>
        <w:t>nožství objednávkou K</w:t>
      </w:r>
      <w:r w:rsidR="007A4F38">
        <w:rPr>
          <w:sz w:val="24"/>
          <w:szCs w:val="24"/>
        </w:rPr>
        <w:t xml:space="preserve">upujícího, </w:t>
      </w:r>
      <w:r w:rsidRPr="00AE3861">
        <w:rPr>
          <w:sz w:val="24"/>
          <w:szCs w:val="24"/>
        </w:rPr>
        <w:t>př</w:t>
      </w:r>
      <w:r w:rsidR="00242DB6" w:rsidRPr="00AE3861">
        <w:rPr>
          <w:sz w:val="24"/>
          <w:szCs w:val="24"/>
        </w:rPr>
        <w:t xml:space="preserve">evést na </w:t>
      </w:r>
      <w:r w:rsidR="00F40BAF">
        <w:rPr>
          <w:sz w:val="24"/>
          <w:szCs w:val="24"/>
        </w:rPr>
        <w:t>K</w:t>
      </w:r>
      <w:r w:rsidR="00242DB6" w:rsidRPr="00AE3861">
        <w:rPr>
          <w:sz w:val="24"/>
          <w:szCs w:val="24"/>
        </w:rPr>
        <w:t>upujícího za podmínek</w:t>
      </w:r>
      <w:r w:rsidR="00BE1CE0" w:rsidRPr="00AE3861">
        <w:rPr>
          <w:sz w:val="24"/>
          <w:szCs w:val="24"/>
        </w:rPr>
        <w:t xml:space="preserve"> </w:t>
      </w:r>
      <w:r w:rsidR="00242DB6" w:rsidRPr="00AE3861">
        <w:rPr>
          <w:sz w:val="24"/>
          <w:szCs w:val="24"/>
        </w:rPr>
        <w:t>sta</w:t>
      </w:r>
      <w:r w:rsidR="00F40BAF">
        <w:rPr>
          <w:sz w:val="24"/>
          <w:szCs w:val="24"/>
        </w:rPr>
        <w:t>novených touto S</w:t>
      </w:r>
      <w:r w:rsidRPr="00AE3861">
        <w:rPr>
          <w:sz w:val="24"/>
          <w:szCs w:val="24"/>
        </w:rPr>
        <w:t>ml</w:t>
      </w:r>
      <w:r w:rsidR="007A4F38">
        <w:rPr>
          <w:sz w:val="24"/>
          <w:szCs w:val="24"/>
        </w:rPr>
        <w:t xml:space="preserve">ouvou vlastnické právo ke </w:t>
      </w:r>
      <w:r w:rsidR="00C9680A">
        <w:rPr>
          <w:sz w:val="24"/>
          <w:szCs w:val="24"/>
        </w:rPr>
        <w:t>Z</w:t>
      </w:r>
      <w:r w:rsidR="007A4F38">
        <w:rPr>
          <w:sz w:val="24"/>
          <w:szCs w:val="24"/>
        </w:rPr>
        <w:t xml:space="preserve">boží </w:t>
      </w:r>
      <w:r w:rsidRPr="00AE3861">
        <w:rPr>
          <w:sz w:val="24"/>
          <w:szCs w:val="24"/>
        </w:rPr>
        <w:t xml:space="preserve">a </w:t>
      </w:r>
      <w:r w:rsidR="00F40BAF">
        <w:rPr>
          <w:sz w:val="24"/>
          <w:szCs w:val="24"/>
        </w:rPr>
        <w:t>K</w:t>
      </w:r>
      <w:r w:rsidR="005B6D35">
        <w:rPr>
          <w:sz w:val="24"/>
          <w:szCs w:val="24"/>
        </w:rPr>
        <w:t>upující se zavazuje P</w:t>
      </w:r>
      <w:r w:rsidRPr="00AE3861">
        <w:rPr>
          <w:sz w:val="24"/>
          <w:szCs w:val="24"/>
        </w:rPr>
        <w:t xml:space="preserve">rodávajícímu objednané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>boží převz</w:t>
      </w:r>
      <w:r w:rsidR="007A4F38">
        <w:rPr>
          <w:sz w:val="24"/>
          <w:szCs w:val="24"/>
        </w:rPr>
        <w:t xml:space="preserve">ít a uhradit za něj kupní cenu. </w:t>
      </w:r>
    </w:p>
    <w:p w14:paraId="1E284F17" w14:textId="70B74641" w:rsidR="00F80A37" w:rsidRDefault="00C9430D" w:rsidP="00C33D50">
      <w:pPr>
        <w:suppressAutoHyphens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vyloučení jakýchkoli pochybností platí, že </w:t>
      </w:r>
      <w:r w:rsidR="00F40BAF">
        <w:rPr>
          <w:sz w:val="24"/>
          <w:szCs w:val="24"/>
        </w:rPr>
        <w:t>pokud se v této Smlouvě uvádí P</w:t>
      </w:r>
      <w:r>
        <w:rPr>
          <w:sz w:val="24"/>
          <w:szCs w:val="24"/>
        </w:rPr>
        <w:t xml:space="preserve">rodávající, vztahuje se tento </w:t>
      </w:r>
      <w:r w:rsidR="00F40BAF">
        <w:rPr>
          <w:sz w:val="24"/>
          <w:szCs w:val="24"/>
        </w:rPr>
        <w:t>pojem na P</w:t>
      </w:r>
      <w:r w:rsidR="00E07283">
        <w:rPr>
          <w:sz w:val="24"/>
          <w:szCs w:val="24"/>
        </w:rPr>
        <w:t>rodávajícího č. 1 až 3</w:t>
      </w:r>
      <w:r>
        <w:rPr>
          <w:sz w:val="24"/>
          <w:szCs w:val="24"/>
        </w:rPr>
        <w:t xml:space="preserve">.  </w:t>
      </w:r>
    </w:p>
    <w:p w14:paraId="5B20467E" w14:textId="0BADBAB9" w:rsidR="0094150B" w:rsidRPr="00AE3861" w:rsidRDefault="00682FAB" w:rsidP="005515D1">
      <w:pPr>
        <w:suppressAutoHyphens w:val="0"/>
        <w:spacing w:after="120"/>
        <w:jc w:val="both"/>
      </w:pPr>
      <w:r>
        <w:rPr>
          <w:sz w:val="24"/>
          <w:szCs w:val="24"/>
        </w:rPr>
        <w:t xml:space="preserve">  </w:t>
      </w: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11DCF896" w14:textId="400688A1" w:rsidR="00F40BAF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F40BAF">
        <w:rPr>
          <w:sz w:val="24"/>
          <w:szCs w:val="24"/>
        </w:rPr>
        <w:t>do místa plnění</w:t>
      </w:r>
      <w:r w:rsidR="008A3886" w:rsidRPr="00AE3861">
        <w:rPr>
          <w:sz w:val="24"/>
          <w:szCs w:val="24"/>
        </w:rPr>
        <w:t xml:space="preserve"> </w:t>
      </w:r>
      <w:r w:rsidR="00F40BAF">
        <w:rPr>
          <w:sz w:val="24"/>
          <w:szCs w:val="24"/>
        </w:rPr>
        <w:t>bude prováděno na náklady P</w:t>
      </w:r>
      <w:r w:rsidR="00653B46">
        <w:rPr>
          <w:sz w:val="24"/>
          <w:szCs w:val="24"/>
        </w:rPr>
        <w:t>rodávajícího, nevyplývá-li z dílčí kupní smlouvy jinak</w:t>
      </w:r>
      <w:r w:rsidR="00DF38FC">
        <w:rPr>
          <w:sz w:val="24"/>
          <w:szCs w:val="24"/>
        </w:rPr>
        <w:t>.</w:t>
      </w:r>
    </w:p>
    <w:p w14:paraId="5B204682" w14:textId="76D01672" w:rsidR="00006F3C" w:rsidRPr="00AE3861" w:rsidRDefault="00C9430D" w:rsidP="00682FAB">
      <w:pPr>
        <w:suppressAutoHyphens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 xml:space="preserve">boží bude mezi smluvními stranami sepsán </w:t>
      </w:r>
      <w:r w:rsidRPr="00101562">
        <w:rPr>
          <w:b/>
          <w:sz w:val="24"/>
          <w:szCs w:val="24"/>
        </w:rPr>
        <w:t>Protokol o předání a převzetí</w:t>
      </w:r>
      <w:r>
        <w:rPr>
          <w:sz w:val="24"/>
          <w:szCs w:val="24"/>
        </w:rPr>
        <w:t xml:space="preserve"> </w:t>
      </w:r>
      <w:r w:rsidR="00C9680A" w:rsidRPr="00215FF7">
        <w:rPr>
          <w:b/>
          <w:sz w:val="24"/>
          <w:szCs w:val="24"/>
        </w:rPr>
        <w:t>Z</w:t>
      </w:r>
      <w:r w:rsidRPr="00215FF7">
        <w:rPr>
          <w:b/>
          <w:sz w:val="24"/>
          <w:szCs w:val="24"/>
        </w:rPr>
        <w:t>boží</w:t>
      </w:r>
      <w:r w:rsidR="005515D1" w:rsidRPr="00215FF7">
        <w:rPr>
          <w:b/>
          <w:sz w:val="24"/>
          <w:szCs w:val="24"/>
        </w:rPr>
        <w:t xml:space="preserve"> – dodací list</w:t>
      </w:r>
      <w:r>
        <w:rPr>
          <w:sz w:val="24"/>
          <w:szCs w:val="24"/>
        </w:rPr>
        <w:t xml:space="preserve"> podepsaný oprávněnými zástupci obou smluvních stran</w:t>
      </w:r>
      <w:r w:rsidR="00F40BAF">
        <w:rPr>
          <w:sz w:val="24"/>
          <w:szCs w:val="24"/>
        </w:rPr>
        <w:t>, který bude vždy tvořit přílohu faktury</w:t>
      </w:r>
      <w:r>
        <w:rPr>
          <w:sz w:val="24"/>
          <w:szCs w:val="24"/>
        </w:rPr>
        <w:t>.</w:t>
      </w:r>
      <w:r w:rsidR="00DF38FC">
        <w:rPr>
          <w:sz w:val="24"/>
          <w:szCs w:val="24"/>
        </w:rPr>
        <w:t xml:space="preserve"> Jiný způsob potvrzování předání a převzetí Zboží si mohou smluvní strany sjednat po uzavření této Smlouvy.</w:t>
      </w:r>
      <w:r>
        <w:rPr>
          <w:sz w:val="24"/>
          <w:szCs w:val="24"/>
        </w:rPr>
        <w:t xml:space="preserve">  </w:t>
      </w:r>
      <w:r w:rsidR="00006F3C" w:rsidRPr="00AE3861">
        <w:rPr>
          <w:sz w:val="24"/>
          <w:szCs w:val="24"/>
        </w:rPr>
        <w:t xml:space="preserve"> </w:t>
      </w:r>
    </w:p>
    <w:p w14:paraId="728B7EFE" w14:textId="075C7C34" w:rsidR="00F40BAF" w:rsidRPr="00AE38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5B204684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5335514C" w:rsidR="008C4CBE" w:rsidRPr="00AE3861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682FAB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6B4394" w:rsidRPr="00AE3861">
        <w:rPr>
          <w:sz w:val="24"/>
          <w:szCs w:val="24"/>
        </w:rPr>
        <w:t>je</w:t>
      </w:r>
      <w:r w:rsidR="003A5AEF" w:rsidRPr="00AE3861">
        <w:rPr>
          <w:sz w:val="24"/>
          <w:szCs w:val="24"/>
        </w:rPr>
        <w:t xml:space="preserve"> </w:t>
      </w:r>
      <w:r w:rsidR="00215FF7">
        <w:rPr>
          <w:sz w:val="24"/>
          <w:szCs w:val="24"/>
        </w:rPr>
        <w:t xml:space="preserve">sídlo Kupujícího, budova ředitelství PMDP, a.s., </w:t>
      </w:r>
      <w:r w:rsidR="00006F3C" w:rsidRPr="00AE3861">
        <w:rPr>
          <w:sz w:val="24"/>
          <w:szCs w:val="24"/>
        </w:rPr>
        <w:t>na ad</w:t>
      </w:r>
      <w:r w:rsidR="00F77212" w:rsidRPr="00AE3861">
        <w:rPr>
          <w:sz w:val="24"/>
          <w:szCs w:val="24"/>
        </w:rPr>
        <w:t xml:space="preserve">rese </w:t>
      </w:r>
      <w:r w:rsidR="00006F3C" w:rsidRPr="00AE3861">
        <w:rPr>
          <w:sz w:val="24"/>
          <w:szCs w:val="24"/>
        </w:rPr>
        <w:t xml:space="preserve">Plzeň, </w:t>
      </w:r>
      <w:r w:rsidR="00215FF7">
        <w:rPr>
          <w:sz w:val="24"/>
          <w:szCs w:val="24"/>
        </w:rPr>
        <w:t>Denisovo nábřeží 920/12, PSČ 301 00</w:t>
      </w:r>
      <w:r w:rsidR="003619E0">
        <w:rPr>
          <w:sz w:val="24"/>
          <w:szCs w:val="24"/>
        </w:rPr>
        <w:t>, nebude-li K</w:t>
      </w:r>
      <w:r w:rsidR="007F3C75" w:rsidRPr="00AE3861">
        <w:rPr>
          <w:sz w:val="24"/>
          <w:szCs w:val="24"/>
        </w:rPr>
        <w:t>upujícím stanoveno jinak</w:t>
      </w:r>
      <w:r w:rsidR="00242DB6" w:rsidRPr="00AE3861">
        <w:rPr>
          <w:sz w:val="24"/>
          <w:szCs w:val="24"/>
        </w:rPr>
        <w:t>.</w:t>
      </w:r>
    </w:p>
    <w:p w14:paraId="288BEC4A" w14:textId="4BA49CD0" w:rsidR="003619E0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se </w:t>
      </w:r>
      <w:r w:rsidR="00681D59" w:rsidRPr="00AE3861">
        <w:rPr>
          <w:sz w:val="24"/>
          <w:szCs w:val="24"/>
        </w:rPr>
        <w:t>zavazuje</w:t>
      </w:r>
      <w:r w:rsidR="0059433E" w:rsidRPr="00AE3861">
        <w:rPr>
          <w:sz w:val="24"/>
          <w:szCs w:val="24"/>
        </w:rPr>
        <w:t xml:space="preserve"> </w:t>
      </w:r>
      <w:r w:rsidR="00215FF7">
        <w:rPr>
          <w:sz w:val="24"/>
        </w:rPr>
        <w:t xml:space="preserve">dodat </w:t>
      </w:r>
      <w:r w:rsidR="00DF38FC">
        <w:rPr>
          <w:sz w:val="24"/>
        </w:rPr>
        <w:t>Kupujícímu objednané Zboží dle požadavku K</w:t>
      </w:r>
      <w:r w:rsidR="00215FF7">
        <w:rPr>
          <w:sz w:val="24"/>
        </w:rPr>
        <w:t xml:space="preserve">upujícího, a </w:t>
      </w:r>
      <w:r w:rsidR="00215FF7" w:rsidRPr="0001663D">
        <w:rPr>
          <w:sz w:val="24"/>
        </w:rPr>
        <w:t>to v co nejkratší možné době, přičemž mezní termín pr</w:t>
      </w:r>
      <w:r w:rsidR="00215FF7">
        <w:rPr>
          <w:sz w:val="24"/>
        </w:rPr>
        <w:t xml:space="preserve">o dodání </w:t>
      </w:r>
      <w:r w:rsidR="00DF38FC">
        <w:rPr>
          <w:sz w:val="24"/>
        </w:rPr>
        <w:t>Z</w:t>
      </w:r>
      <w:r w:rsidR="00215FF7">
        <w:rPr>
          <w:sz w:val="24"/>
        </w:rPr>
        <w:t>boží je nejpozději do 2</w:t>
      </w:r>
      <w:r w:rsidR="00215FF7" w:rsidRPr="0001663D">
        <w:rPr>
          <w:sz w:val="24"/>
        </w:rPr>
        <w:t xml:space="preserve"> </w:t>
      </w:r>
      <w:r w:rsidR="00215FF7">
        <w:rPr>
          <w:sz w:val="24"/>
        </w:rPr>
        <w:t xml:space="preserve">(dvou) pracovních </w:t>
      </w:r>
      <w:r w:rsidR="00215FF7" w:rsidRPr="0001663D">
        <w:rPr>
          <w:sz w:val="24"/>
        </w:rPr>
        <w:t>dnů</w:t>
      </w:r>
      <w:r w:rsidR="00215FF7">
        <w:rPr>
          <w:sz w:val="24"/>
        </w:rPr>
        <w:t xml:space="preserve"> od uzavření dílčí kupní smlouvy dle čl. III smlouvy</w:t>
      </w:r>
      <w:r w:rsidR="00DF38FC">
        <w:rPr>
          <w:sz w:val="24"/>
        </w:rPr>
        <w:t xml:space="preserve"> (pokud je uvedeno, že je Zboží skladem)</w:t>
      </w:r>
      <w:r w:rsidR="00215FF7">
        <w:rPr>
          <w:sz w:val="24"/>
        </w:rPr>
        <w:t>.</w:t>
      </w:r>
    </w:p>
    <w:p w14:paraId="5B20468A" w14:textId="7785287B" w:rsidR="00006F3C" w:rsidRPr="007A4F38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Odmítne-li </w:t>
      </w:r>
      <w:r w:rsidR="00682FAB">
        <w:rPr>
          <w:sz w:val="24"/>
          <w:szCs w:val="24"/>
        </w:rPr>
        <w:t xml:space="preserve">příslušný </w:t>
      </w:r>
      <w:r w:rsidR="003619E0">
        <w:rPr>
          <w:sz w:val="24"/>
          <w:szCs w:val="24"/>
        </w:rPr>
        <w:t>P</w:t>
      </w:r>
      <w:r w:rsidRPr="00AE3861">
        <w:rPr>
          <w:sz w:val="24"/>
          <w:szCs w:val="24"/>
        </w:rPr>
        <w:t>rodávající dodat objednan</w:t>
      </w:r>
      <w:r w:rsidR="00540F30" w:rsidRPr="00AE3861">
        <w:rPr>
          <w:sz w:val="24"/>
          <w:szCs w:val="24"/>
        </w:rPr>
        <w:t xml:space="preserve">é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</w:t>
      </w:r>
      <w:r w:rsidR="003619E0">
        <w:rPr>
          <w:sz w:val="24"/>
          <w:szCs w:val="24"/>
        </w:rPr>
        <w:t>K</w:t>
      </w:r>
      <w:r w:rsidR="00F77212" w:rsidRPr="00AE3861">
        <w:rPr>
          <w:sz w:val="24"/>
          <w:szCs w:val="24"/>
        </w:rPr>
        <w:t>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</w:t>
      </w:r>
      <w:r w:rsidR="003619E0">
        <w:rPr>
          <w:sz w:val="24"/>
          <w:szCs w:val="24"/>
        </w:rPr>
        <w:t>K</w:t>
      </w:r>
      <w:r w:rsidRPr="007A4F38">
        <w:rPr>
          <w:sz w:val="24"/>
          <w:szCs w:val="24"/>
        </w:rPr>
        <w:t>upujícího na náhradu škody</w:t>
      </w:r>
      <w:r w:rsidR="003619E0">
        <w:rPr>
          <w:sz w:val="24"/>
          <w:szCs w:val="24"/>
        </w:rPr>
        <w:t>, zejm. nikoli však výlučně, ve výši rozdílu kupní ceny daného Zboží</w:t>
      </w:r>
      <w:r w:rsidRPr="007A4F38">
        <w:rPr>
          <w:sz w:val="24"/>
          <w:szCs w:val="24"/>
        </w:rPr>
        <w:t xml:space="preserve">. </w:t>
      </w:r>
    </w:p>
    <w:p w14:paraId="5B20468B" w14:textId="3EA54A4E" w:rsidR="00653B46" w:rsidRDefault="00653B46">
      <w:pPr>
        <w:suppressAutoHyphens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620717E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9FB3849" w14:textId="33307DB2" w:rsidR="004E7373" w:rsidRPr="005E1A99" w:rsidRDefault="00006F3C" w:rsidP="00F01F50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E1A99">
        <w:rPr>
          <w:sz w:val="24"/>
          <w:szCs w:val="24"/>
        </w:rPr>
        <w:t xml:space="preserve">Kupní cena dodávek </w:t>
      </w:r>
      <w:r w:rsidR="00F01F50" w:rsidRPr="005E1A99">
        <w:rPr>
          <w:sz w:val="24"/>
          <w:szCs w:val="24"/>
        </w:rPr>
        <w:t>Zboží</w:t>
      </w:r>
      <w:r w:rsidRPr="005E1A99">
        <w:rPr>
          <w:sz w:val="24"/>
          <w:szCs w:val="24"/>
        </w:rPr>
        <w:t xml:space="preserve"> </w:t>
      </w:r>
      <w:r w:rsidR="00682FAB" w:rsidRPr="005E1A99">
        <w:rPr>
          <w:sz w:val="24"/>
          <w:szCs w:val="24"/>
        </w:rPr>
        <w:t xml:space="preserve">je </w:t>
      </w:r>
      <w:r w:rsidRPr="005E1A99">
        <w:rPr>
          <w:sz w:val="24"/>
          <w:szCs w:val="24"/>
        </w:rPr>
        <w:t>vždy stanovena jako násobek skutečně dodaného množství (</w:t>
      </w:r>
      <w:r w:rsidR="00E31E13" w:rsidRPr="005E1A99">
        <w:rPr>
          <w:sz w:val="24"/>
          <w:szCs w:val="24"/>
        </w:rPr>
        <w:t>ks</w:t>
      </w:r>
      <w:r w:rsidRPr="005E1A99">
        <w:rPr>
          <w:sz w:val="24"/>
          <w:szCs w:val="24"/>
        </w:rPr>
        <w:t xml:space="preserve">) </w:t>
      </w:r>
      <w:r w:rsidR="00C9680A" w:rsidRPr="005E1A99">
        <w:rPr>
          <w:sz w:val="24"/>
          <w:szCs w:val="24"/>
        </w:rPr>
        <w:t>Z</w:t>
      </w:r>
      <w:r w:rsidR="00540F30" w:rsidRPr="005E1A99">
        <w:rPr>
          <w:sz w:val="24"/>
          <w:szCs w:val="24"/>
        </w:rPr>
        <w:t>boží</w:t>
      </w:r>
      <w:r w:rsidRPr="005E1A99">
        <w:rPr>
          <w:sz w:val="24"/>
          <w:szCs w:val="24"/>
        </w:rPr>
        <w:t xml:space="preserve"> a ceny za </w:t>
      </w:r>
      <w:r w:rsidR="00540F30" w:rsidRPr="005E1A99">
        <w:rPr>
          <w:sz w:val="24"/>
          <w:szCs w:val="24"/>
        </w:rPr>
        <w:t>jednotku</w:t>
      </w:r>
      <w:r w:rsidRPr="005E1A99">
        <w:rPr>
          <w:sz w:val="24"/>
          <w:szCs w:val="24"/>
        </w:rPr>
        <w:t xml:space="preserve"> </w:t>
      </w:r>
      <w:r w:rsidR="00C9680A" w:rsidRPr="005E1A99">
        <w:rPr>
          <w:sz w:val="24"/>
          <w:szCs w:val="24"/>
        </w:rPr>
        <w:t>Z</w:t>
      </w:r>
      <w:r w:rsidR="00540F30" w:rsidRPr="005E1A99">
        <w:rPr>
          <w:sz w:val="24"/>
          <w:szCs w:val="24"/>
        </w:rPr>
        <w:t>boží</w:t>
      </w:r>
      <w:r w:rsidRPr="005E1A99">
        <w:rPr>
          <w:sz w:val="24"/>
          <w:szCs w:val="24"/>
        </w:rPr>
        <w:t xml:space="preserve"> </w:t>
      </w:r>
      <w:r w:rsidR="006E1DF1" w:rsidRPr="005E1A99">
        <w:rPr>
          <w:sz w:val="24"/>
          <w:szCs w:val="24"/>
        </w:rPr>
        <w:t>v</w:t>
      </w:r>
      <w:r w:rsidR="006B4394" w:rsidRPr="005E1A99">
        <w:rPr>
          <w:sz w:val="24"/>
          <w:szCs w:val="24"/>
        </w:rPr>
        <w:t> </w:t>
      </w:r>
      <w:r w:rsidR="006E1DF1" w:rsidRPr="005E1A99">
        <w:rPr>
          <w:sz w:val="24"/>
          <w:szCs w:val="24"/>
        </w:rPr>
        <w:t xml:space="preserve">Kč </w:t>
      </w:r>
      <w:r w:rsidRPr="005E1A99">
        <w:rPr>
          <w:sz w:val="24"/>
          <w:szCs w:val="24"/>
        </w:rPr>
        <w:t>bez DPH</w:t>
      </w:r>
      <w:r w:rsidR="00F01F50" w:rsidRPr="005E1A99">
        <w:rPr>
          <w:sz w:val="24"/>
          <w:szCs w:val="24"/>
        </w:rPr>
        <w:t xml:space="preserve"> uvedenou v ceníku Prodávajícího pro PMDP, a</w:t>
      </w:r>
      <w:r w:rsidR="00697A62" w:rsidRPr="005E1A99">
        <w:rPr>
          <w:sz w:val="24"/>
          <w:szCs w:val="24"/>
        </w:rPr>
        <w:t>.s.</w:t>
      </w:r>
      <w:r w:rsidR="00540F30" w:rsidRPr="005E1A99">
        <w:rPr>
          <w:sz w:val="24"/>
          <w:szCs w:val="24"/>
        </w:rPr>
        <w:t xml:space="preserve"> </w:t>
      </w:r>
      <w:r w:rsidR="00DF38FC">
        <w:rPr>
          <w:sz w:val="24"/>
          <w:szCs w:val="24"/>
        </w:rPr>
        <w:t>(na e-shopu).</w:t>
      </w:r>
    </w:p>
    <w:p w14:paraId="22C2F40C" w14:textId="32B157E8" w:rsidR="00676FF2" w:rsidRPr="00676FF2" w:rsidRDefault="00DF38FC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>
        <w:t>Celková k</w:t>
      </w:r>
      <w:r w:rsidR="00676FF2" w:rsidRPr="00676FF2">
        <w:t xml:space="preserve">upní cena za dodávku Zboží bude cenou nepřekročitelnou a bude zahrnovat veškeré náklady Prodávajícího, zejména cenu za dopravu, mzdy zaměstnanců, administrativu, atesty Zboží apod. </w:t>
      </w:r>
    </w:p>
    <w:p w14:paraId="2C1938E4" w14:textId="700F2FAC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K cenám bude účtováno DPH dle platných právních předpisů v okamžiku plnění. Veškeré platby budou v české měně na základě řádně vystaveného daňového dokladu – faktury. </w:t>
      </w:r>
    </w:p>
    <w:p w14:paraId="5EA85612" w14:textId="3CD9143B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>Prodávající vystaví fakturu – daňový doklad po řádném dodání Zboží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Zboží podepsaného oprávněnými zástupci obou smluvních stran</w:t>
      </w:r>
      <w:r w:rsidR="0036463C">
        <w:t>, popř. jiný doklad potvrzující dodávku Zboží</w:t>
      </w:r>
      <w:r w:rsidRPr="00676FF2">
        <w:t xml:space="preserve">. </w:t>
      </w:r>
    </w:p>
    <w:p w14:paraId="7AFAE92C" w14:textId="1C3A55CA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Faktura - daňový doklad musí být zaslána elektronicky na emailovou adresu </w:t>
      </w:r>
      <w:r w:rsidRPr="00676FF2">
        <w:rPr>
          <w:color w:val="0000FF"/>
        </w:rPr>
        <w:t xml:space="preserve">faktury@pmdp.cz </w:t>
      </w:r>
      <w:r w:rsidRPr="00676FF2">
        <w:t xml:space="preserve">ve formátu ISDOC nebo PDF. </w:t>
      </w:r>
    </w:p>
    <w:p w14:paraId="06D027C3" w14:textId="4503E450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Datem zdanitelného </w:t>
      </w:r>
      <w:r w:rsidRPr="00676FF2">
        <w:t xml:space="preserve">plnění </w:t>
      </w:r>
      <w:r w:rsidR="00ED51C9">
        <w:t xml:space="preserve">je </w:t>
      </w:r>
      <w:r w:rsidRPr="00676FF2">
        <w:t xml:space="preserve">datum </w:t>
      </w:r>
      <w:r w:rsidRPr="00676FF2">
        <w:t xml:space="preserve">předání a převzetí Zboží. </w:t>
      </w:r>
    </w:p>
    <w:p w14:paraId="7A92112B" w14:textId="35DDA72F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 či opravené faktury Kupujícímu. </w:t>
      </w:r>
    </w:p>
    <w:p w14:paraId="50A99AB4" w14:textId="35C5C10F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Splatnost faktury se sjednává na 30 kalendářních dnů ode dne vystavení, min. však 21 dní ode dne jejího prokazatelného doručení Kupujícímu. </w:t>
      </w:r>
    </w:p>
    <w:p w14:paraId="15A0BD71" w14:textId="64CBD45A" w:rsidR="00676FF2" w:rsidRPr="00676FF2" w:rsidRDefault="00676FF2" w:rsidP="00F01F50">
      <w:pPr>
        <w:pStyle w:val="Default"/>
        <w:numPr>
          <w:ilvl w:val="0"/>
          <w:numId w:val="18"/>
        </w:numPr>
        <w:spacing w:after="148"/>
        <w:ind w:left="426" w:hanging="426"/>
        <w:jc w:val="both"/>
      </w:pPr>
      <w:r w:rsidRPr="00676FF2">
        <w:t xml:space="preserve">Cena za Zboží bude uhrazena na bankovní účet Prodávajícího uvedený v záhlaví této Smlouvy. </w:t>
      </w:r>
    </w:p>
    <w:p w14:paraId="5290478E" w14:textId="21CB9288" w:rsidR="00676FF2" w:rsidRPr="00676FF2" w:rsidRDefault="00676FF2" w:rsidP="00F01F50">
      <w:pPr>
        <w:pStyle w:val="Default"/>
        <w:numPr>
          <w:ilvl w:val="0"/>
          <w:numId w:val="18"/>
        </w:numPr>
        <w:ind w:left="426" w:hanging="426"/>
        <w:jc w:val="both"/>
      </w:pPr>
      <w:r w:rsidRPr="00676FF2">
        <w:t xml:space="preserve">Kupující neposkytuje zálohy na úhradu ceny plnění. </w:t>
      </w:r>
    </w:p>
    <w:p w14:paraId="784099E1" w14:textId="77777777" w:rsidR="00F80A37" w:rsidRDefault="00F80A37" w:rsidP="000B2BF3">
      <w:pPr>
        <w:ind w:left="426" w:hanging="426"/>
        <w:jc w:val="center"/>
        <w:rPr>
          <w:b/>
          <w:sz w:val="24"/>
          <w:szCs w:val="24"/>
        </w:rPr>
      </w:pPr>
    </w:p>
    <w:p w14:paraId="5B2046B0" w14:textId="77777777" w:rsidR="000B2BF3" w:rsidRDefault="00C04FCC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B2BF3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64C7AD03" w:rsidR="00845099" w:rsidRPr="00AE3861" w:rsidRDefault="004E7373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Bude-li P</w:t>
      </w:r>
      <w:r w:rsidR="00006F3C" w:rsidRPr="00AE3861">
        <w:rPr>
          <w:sz w:val="24"/>
          <w:szCs w:val="24"/>
        </w:rPr>
        <w:t>rodávající v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="00006F3C" w:rsidRPr="00AE3861">
        <w:rPr>
          <w:sz w:val="24"/>
          <w:szCs w:val="24"/>
        </w:rPr>
        <w:t xml:space="preserve">boží dle této </w:t>
      </w:r>
      <w:r w:rsidR="00C9430D">
        <w:rPr>
          <w:sz w:val="24"/>
          <w:szCs w:val="24"/>
        </w:rPr>
        <w:t>S</w:t>
      </w:r>
      <w:r w:rsidR="00006F3C"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>
        <w:rPr>
          <w:sz w:val="24"/>
          <w:szCs w:val="24"/>
        </w:rPr>
        <w:t>, je P</w:t>
      </w:r>
      <w:r w:rsidR="00676FF2">
        <w:rPr>
          <w:sz w:val="24"/>
          <w:szCs w:val="24"/>
        </w:rPr>
        <w:t>rodávající povinen uhradit K</w:t>
      </w:r>
      <w:r w:rsidR="00006F3C" w:rsidRPr="00AE3861">
        <w:rPr>
          <w:sz w:val="24"/>
          <w:szCs w:val="24"/>
        </w:rPr>
        <w:t xml:space="preserve">upujícímu na vyzvání smluvní pokutu ve výši </w:t>
      </w:r>
      <w:r w:rsidR="009B5896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="00006F3C"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ceny (bez DPH) včas </w:t>
      </w:r>
      <w:r w:rsidR="00676FF2">
        <w:rPr>
          <w:sz w:val="24"/>
          <w:szCs w:val="24"/>
        </w:rPr>
        <w:t>nedodaného Zboží</w:t>
      </w:r>
      <w:r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413640CD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 případ </w:t>
      </w:r>
      <w:r w:rsidR="004E7373">
        <w:rPr>
          <w:sz w:val="24"/>
          <w:szCs w:val="24"/>
        </w:rPr>
        <w:t>prodlení K</w:t>
      </w:r>
      <w:r w:rsidRPr="00AE3861">
        <w:rPr>
          <w:sz w:val="24"/>
          <w:szCs w:val="24"/>
        </w:rPr>
        <w:t>upujícího s</w:t>
      </w:r>
      <w:r w:rsidR="006B4394" w:rsidRPr="00AE3861">
        <w:rPr>
          <w:sz w:val="24"/>
          <w:szCs w:val="24"/>
        </w:rPr>
        <w:t> </w:t>
      </w:r>
      <w:r w:rsidR="004E7373">
        <w:rPr>
          <w:sz w:val="24"/>
          <w:szCs w:val="24"/>
        </w:rPr>
        <w:t>úhradou kupní ceny, je K</w:t>
      </w:r>
      <w:r w:rsidRPr="00AE3861">
        <w:rPr>
          <w:sz w:val="24"/>
          <w:szCs w:val="24"/>
        </w:rPr>
        <w:t>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 xml:space="preserve">uhradit </w:t>
      </w:r>
      <w:r w:rsidR="004E7373">
        <w:rPr>
          <w:sz w:val="24"/>
          <w:szCs w:val="24"/>
        </w:rPr>
        <w:t>P</w:t>
      </w:r>
      <w:r w:rsidRPr="00AE3861">
        <w:rPr>
          <w:sz w:val="24"/>
          <w:szCs w:val="24"/>
        </w:rPr>
        <w:t>rodávajícímu smluvní pokutu ve výši 0,</w:t>
      </w:r>
      <w:r w:rsidR="00FD25AB" w:rsidRPr="00AE3861">
        <w:rPr>
          <w:sz w:val="24"/>
          <w:szCs w:val="24"/>
        </w:rPr>
        <w:t>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3304C8DB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smlouvy nejsou dotčeny nároky </w:t>
      </w:r>
      <w:r w:rsidR="004E7373">
        <w:rPr>
          <w:sz w:val="24"/>
          <w:szCs w:val="24"/>
        </w:rPr>
        <w:t>K</w:t>
      </w:r>
      <w:r w:rsidR="00C04FCC">
        <w:rPr>
          <w:sz w:val="24"/>
          <w:szCs w:val="24"/>
        </w:rPr>
        <w:t>upujícího</w:t>
      </w:r>
      <w:r w:rsidRPr="00AE3861">
        <w:rPr>
          <w:sz w:val="24"/>
          <w:szCs w:val="24"/>
        </w:rPr>
        <w:t xml:space="preserve"> na náhradu škody</w:t>
      </w:r>
      <w:r w:rsidR="004E7373">
        <w:rPr>
          <w:sz w:val="24"/>
          <w:szCs w:val="24"/>
        </w:rPr>
        <w:t>,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5B2046B6" w14:textId="77777777" w:rsidR="00006F3C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Smluvní pokuty jsou splatné do 14 dnů ode dne </w:t>
      </w:r>
      <w:r w:rsidR="00C04FCC">
        <w:rPr>
          <w:sz w:val="24"/>
          <w:szCs w:val="24"/>
        </w:rPr>
        <w:t>doručení výzvy druhé smluvní straně</w:t>
      </w:r>
      <w:r w:rsidR="00987D3A">
        <w:rPr>
          <w:sz w:val="24"/>
          <w:szCs w:val="24"/>
        </w:rPr>
        <w:t>.</w:t>
      </w:r>
    </w:p>
    <w:p w14:paraId="5B2046B8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5B2046B9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B2046BA" w14:textId="77777777" w:rsidR="00B12750" w:rsidRPr="00AE3861" w:rsidRDefault="00B12750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B" w14:textId="53C3E463" w:rsidR="00006F3C" w:rsidRPr="00AE3861" w:rsidRDefault="00006F3C" w:rsidP="00C04FCC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okamžikem jeho převzetí. Skutečností dokládající tento okamžik je podpis oprávněné osoby </w:t>
      </w:r>
      <w:r w:rsidR="00DF38FC">
        <w:rPr>
          <w:sz w:val="24"/>
          <w:szCs w:val="24"/>
        </w:rPr>
        <w:t>K</w:t>
      </w:r>
      <w:r w:rsidRPr="00AE3861">
        <w:rPr>
          <w:sz w:val="24"/>
          <w:szCs w:val="24"/>
        </w:rPr>
        <w:t>upující</w:t>
      </w:r>
      <w:r w:rsidR="000B2BF3">
        <w:rPr>
          <w:sz w:val="24"/>
          <w:szCs w:val="24"/>
        </w:rPr>
        <w:t xml:space="preserve">ho na </w:t>
      </w:r>
      <w:r w:rsidR="000C6AC6">
        <w:rPr>
          <w:sz w:val="24"/>
          <w:szCs w:val="24"/>
        </w:rPr>
        <w:t>p</w:t>
      </w:r>
      <w:r w:rsidR="00C04FCC">
        <w:rPr>
          <w:sz w:val="24"/>
          <w:szCs w:val="24"/>
        </w:rPr>
        <w:t>ředávacím protokolu</w:t>
      </w:r>
      <w:r w:rsidR="000C6AC6">
        <w:rPr>
          <w:sz w:val="24"/>
          <w:szCs w:val="24"/>
        </w:rPr>
        <w:t xml:space="preserve"> (dodacím listu)</w:t>
      </w:r>
      <w:r w:rsidR="0036463C">
        <w:rPr>
          <w:sz w:val="24"/>
          <w:szCs w:val="24"/>
        </w:rPr>
        <w:t>, popř. jiný doklad prokazující předání Zboží Kupujícímu</w:t>
      </w:r>
      <w:r w:rsidR="00C04FCC">
        <w:rPr>
          <w:sz w:val="24"/>
          <w:szCs w:val="24"/>
        </w:rPr>
        <w:t xml:space="preserve">. </w:t>
      </w:r>
      <w:r w:rsidRPr="00AE3861">
        <w:rPr>
          <w:sz w:val="24"/>
          <w:szCs w:val="24"/>
        </w:rPr>
        <w:t xml:space="preserve">Tímto okamžikem také přechází na </w:t>
      </w:r>
      <w:r w:rsidR="005B6D35">
        <w:rPr>
          <w:sz w:val="24"/>
          <w:szCs w:val="24"/>
        </w:rPr>
        <w:t>K</w:t>
      </w:r>
      <w:r w:rsidRPr="00AE3861">
        <w:rPr>
          <w:sz w:val="24"/>
          <w:szCs w:val="24"/>
        </w:rPr>
        <w:t xml:space="preserve">upujícího nebezpečí škody na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153EDE65" w:rsidR="00A01560" w:rsidRDefault="00A01560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</w:t>
      </w:r>
      <w:r w:rsidR="001357C6">
        <w:rPr>
          <w:sz w:val="24"/>
          <w:szCs w:val="24"/>
        </w:rPr>
        <w:t>dodaného Zboží</w:t>
      </w:r>
      <w:r>
        <w:rPr>
          <w:sz w:val="24"/>
          <w:szCs w:val="24"/>
        </w:rPr>
        <w:t xml:space="preserve"> činí 24 měsíců od řádné dodávky </w:t>
      </w:r>
      <w:r w:rsidR="001357C6">
        <w:rPr>
          <w:sz w:val="24"/>
          <w:szCs w:val="24"/>
        </w:rPr>
        <w:t xml:space="preserve">příslušného Zboží </w:t>
      </w:r>
      <w:r w:rsidR="00C9680A">
        <w:rPr>
          <w:sz w:val="24"/>
          <w:szCs w:val="24"/>
        </w:rPr>
        <w:t xml:space="preserve">na základě jednotlivých dílčích kupních smluv. </w:t>
      </w:r>
      <w:r>
        <w:rPr>
          <w:sz w:val="24"/>
          <w:szCs w:val="24"/>
        </w:rPr>
        <w:t xml:space="preserve">  </w:t>
      </w:r>
    </w:p>
    <w:p w14:paraId="5B2046C1" w14:textId="76B827A3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Prodávajíc</w:t>
      </w:r>
      <w:r w:rsidR="004E7373">
        <w:rPr>
          <w:sz w:val="24"/>
          <w:szCs w:val="24"/>
        </w:rPr>
        <w:t>í odpovídá za škodu způsobenou K</w:t>
      </w:r>
      <w:r w:rsidRPr="00AE3861">
        <w:rPr>
          <w:sz w:val="24"/>
          <w:szCs w:val="24"/>
        </w:rPr>
        <w:t xml:space="preserve">upujícímu </w:t>
      </w:r>
      <w:r w:rsidR="00A01560">
        <w:rPr>
          <w:sz w:val="24"/>
          <w:szCs w:val="24"/>
        </w:rPr>
        <w:t>v</w:t>
      </w:r>
      <w:r w:rsidR="001357C6">
        <w:rPr>
          <w:sz w:val="24"/>
          <w:szCs w:val="24"/>
        </w:rPr>
        <w:t> </w:t>
      </w:r>
      <w:r w:rsidR="00A01560">
        <w:rPr>
          <w:sz w:val="24"/>
          <w:szCs w:val="24"/>
        </w:rPr>
        <w:t>souvislosti</w:t>
      </w:r>
      <w:r w:rsidR="001357C6">
        <w:rPr>
          <w:sz w:val="24"/>
          <w:szCs w:val="24"/>
        </w:rPr>
        <w:t xml:space="preserve"> s plněním této Smlouvy v plném rozsahu.</w:t>
      </w:r>
      <w:r w:rsidR="00A01560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 xml:space="preserve"> </w:t>
      </w:r>
    </w:p>
    <w:p w14:paraId="5B2046C2" w14:textId="76CFA183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</w:t>
      </w:r>
      <w:r w:rsidR="004E7373">
        <w:rPr>
          <w:sz w:val="24"/>
          <w:szCs w:val="24"/>
        </w:rPr>
        <w:t>K</w:t>
      </w:r>
      <w:r w:rsidR="00006F3C" w:rsidRPr="00AE3861">
        <w:rPr>
          <w:sz w:val="24"/>
          <w:szCs w:val="24"/>
        </w:rPr>
        <w:t xml:space="preserve">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1983AE11" w14:textId="77777777" w:rsidR="005B6D35" w:rsidRDefault="00A01560" w:rsidP="005B6D35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 w:rsidR="005B6D35">
        <w:rPr>
          <w:sz w:val="24"/>
          <w:szCs w:val="24"/>
        </w:rPr>
        <w:t>P</w:t>
      </w:r>
      <w:r>
        <w:rPr>
          <w:sz w:val="24"/>
          <w:szCs w:val="24"/>
        </w:rPr>
        <w:t>rodávajícímu</w:t>
      </w:r>
      <w:r w:rsidR="00187E31" w:rsidRPr="00187E31">
        <w:rPr>
          <w:sz w:val="24"/>
          <w:szCs w:val="24"/>
        </w:rPr>
        <w:t xml:space="preserve"> záruční vadu </w:t>
      </w:r>
      <w:r w:rsidR="001357C6">
        <w:rPr>
          <w:sz w:val="24"/>
          <w:szCs w:val="24"/>
        </w:rPr>
        <w:t>dodaného Zboží</w:t>
      </w:r>
      <w:r w:rsidR="004E7373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neprodleně po jejím zjištění. </w:t>
      </w:r>
      <w:r w:rsidR="001357C6">
        <w:rPr>
          <w:sz w:val="24"/>
          <w:szCs w:val="24"/>
        </w:rPr>
        <w:t>Dále bude reklamace řešena písemně.</w:t>
      </w:r>
    </w:p>
    <w:p w14:paraId="44B2C46A" w14:textId="618D264E" w:rsidR="005B6D35" w:rsidRPr="005B6D35" w:rsidRDefault="00187E31" w:rsidP="005B6D35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B6D35">
        <w:rPr>
          <w:sz w:val="24"/>
          <w:szCs w:val="24"/>
        </w:rPr>
        <w:t xml:space="preserve">V záruční době je </w:t>
      </w:r>
      <w:r w:rsidR="004E7373" w:rsidRPr="005B6D35">
        <w:rPr>
          <w:sz w:val="24"/>
          <w:szCs w:val="24"/>
        </w:rPr>
        <w:t>P</w:t>
      </w:r>
      <w:r w:rsidR="00A01560" w:rsidRPr="005B6D35">
        <w:rPr>
          <w:sz w:val="24"/>
          <w:szCs w:val="24"/>
        </w:rPr>
        <w:t>rodávající</w:t>
      </w:r>
      <w:r w:rsidRPr="005B6D35">
        <w:rPr>
          <w:sz w:val="24"/>
          <w:szCs w:val="24"/>
        </w:rPr>
        <w:t xml:space="preserve"> povinen odstraňovat reklamované vady, popřípadě uspokojit jiný nárok </w:t>
      </w:r>
      <w:r w:rsidR="004E7373" w:rsidRPr="005B6D35">
        <w:rPr>
          <w:sz w:val="24"/>
          <w:szCs w:val="24"/>
        </w:rPr>
        <w:t>K</w:t>
      </w:r>
      <w:r w:rsidR="00A01560" w:rsidRPr="005B6D35">
        <w:rPr>
          <w:sz w:val="24"/>
          <w:szCs w:val="24"/>
        </w:rPr>
        <w:t xml:space="preserve">upujícího </w:t>
      </w:r>
      <w:r w:rsidRPr="005B6D35">
        <w:rPr>
          <w:sz w:val="24"/>
          <w:szCs w:val="24"/>
        </w:rPr>
        <w:t>z vadného plnění, a to</w:t>
      </w:r>
      <w:r w:rsidR="005B6D35" w:rsidRPr="005B6D35">
        <w:rPr>
          <w:sz w:val="24"/>
          <w:szCs w:val="24"/>
        </w:rPr>
        <w:t xml:space="preserve"> dle reklamačních podmínek Prodávajícího. Maximální lhůta pro vyřízení reklamace činí 30 dnů od jejího uplatnění, přičemž Kupující preferuje výměnu vadného Zboží za Zboží nové.</w:t>
      </w:r>
    </w:p>
    <w:p w14:paraId="1925DD3E" w14:textId="77777777" w:rsidR="005B6D35" w:rsidRPr="00980EE7" w:rsidRDefault="005B6D35" w:rsidP="005B6D35">
      <w:pPr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14:paraId="5B2046C6" w14:textId="77777777" w:rsidR="00730324" w:rsidRPr="00AE3861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4D74170F" w:rsidR="008C4CBE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C9680A">
        <w:rPr>
          <w:sz w:val="24"/>
          <w:szCs w:val="24"/>
        </w:rPr>
        <w:t>této Smlouvy</w:t>
      </w:r>
      <w:r w:rsidRPr="00AE3861">
        <w:rPr>
          <w:sz w:val="24"/>
          <w:szCs w:val="24"/>
        </w:rPr>
        <w:t xml:space="preserve"> nastává okamžikem jejího podpisu </w:t>
      </w:r>
      <w:r w:rsidR="00F40CD8" w:rsidRPr="00AE3861">
        <w:rPr>
          <w:sz w:val="24"/>
          <w:szCs w:val="24"/>
        </w:rPr>
        <w:t>všemi</w:t>
      </w:r>
      <w:r w:rsidRPr="00AE3861">
        <w:rPr>
          <w:sz w:val="24"/>
          <w:szCs w:val="24"/>
        </w:rPr>
        <w:t xml:space="preserve"> smluvními stranami</w:t>
      </w:r>
      <w:r w:rsidR="004E7373">
        <w:rPr>
          <w:sz w:val="24"/>
          <w:szCs w:val="24"/>
        </w:rPr>
        <w:t xml:space="preserve"> a účinnosti dnem zveřejnění v registru smluv</w:t>
      </w:r>
      <w:r w:rsidRPr="00AE3861">
        <w:rPr>
          <w:sz w:val="24"/>
          <w:szCs w:val="24"/>
        </w:rPr>
        <w:t>.</w:t>
      </w:r>
    </w:p>
    <w:p w14:paraId="5B2046CA" w14:textId="68E5FEBD" w:rsidR="001557C2" w:rsidRDefault="001557C2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Doba trvání této </w:t>
      </w:r>
      <w:r w:rsidR="00C9680A">
        <w:rPr>
          <w:sz w:val="24"/>
          <w:szCs w:val="24"/>
        </w:rPr>
        <w:t>S</w:t>
      </w:r>
      <w:r w:rsidRPr="00AE3861">
        <w:rPr>
          <w:sz w:val="24"/>
          <w:szCs w:val="24"/>
        </w:rPr>
        <w:t>mlouvy se sjednává na dobu určitou</w:t>
      </w:r>
      <w:r w:rsidR="005B6D35">
        <w:rPr>
          <w:sz w:val="24"/>
          <w:szCs w:val="24"/>
        </w:rPr>
        <w:t xml:space="preserve"> </w:t>
      </w:r>
      <w:r w:rsidR="005B6D35" w:rsidRPr="00656617">
        <w:rPr>
          <w:b/>
          <w:sz w:val="24"/>
          <w:szCs w:val="24"/>
        </w:rPr>
        <w:t>do 31. 12. 2027</w:t>
      </w:r>
      <w:r w:rsidR="00CD4416">
        <w:rPr>
          <w:sz w:val="24"/>
          <w:szCs w:val="24"/>
        </w:rPr>
        <w:t>.</w:t>
      </w:r>
      <w:r w:rsidR="004E7373">
        <w:rPr>
          <w:sz w:val="24"/>
          <w:szCs w:val="24"/>
        </w:rPr>
        <w:t xml:space="preserve"> </w:t>
      </w:r>
      <w:r w:rsidR="0036463C">
        <w:rPr>
          <w:sz w:val="24"/>
          <w:szCs w:val="24"/>
        </w:rPr>
        <w:t>Maximální celkový finanční objem Zboží, které lze na základě této Rámcové kupní smlouvy objednat, nepřesáhne částku 3.000.000,- Kč bez DPH.</w:t>
      </w:r>
    </w:p>
    <w:p w14:paraId="5B2046CC" w14:textId="294024B5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je </w:t>
      </w:r>
      <w:r w:rsidR="005030CB">
        <w:rPr>
          <w:sz w:val="24"/>
          <w:szCs w:val="24"/>
        </w:rPr>
        <w:t>uzavírána elektronicky.</w:t>
      </w:r>
      <w:bookmarkStart w:id="0" w:name="_GoBack"/>
      <w:bookmarkEnd w:id="0"/>
    </w:p>
    <w:p w14:paraId="5B2046CD" w14:textId="77777777" w:rsidR="008C4CBE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Rámcovou kupní smlouvu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Pr="00AE3861">
        <w:rPr>
          <w:sz w:val="24"/>
          <w:szCs w:val="24"/>
        </w:rPr>
        <w:t>(číslovanými dodatky).</w:t>
      </w:r>
    </w:p>
    <w:p w14:paraId="5B2046CE" w14:textId="77777777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 jeho nabídka v zadávacím řízení uvedeném v čl. I této Smlouvy nepodléhá obchodnímu tajemství a podléhá zákonu č. 106/1999 Sb., o svobodném přístupu k informacím, ve znění pozdějších předpisů. </w:t>
      </w: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dále bere na vědomí a souhlasí s tím, že tato Smlouva, jakož i objednávky dle této Smlouvy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</w:p>
    <w:p w14:paraId="5B2046CF" w14:textId="0A082D27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>Součástí této Smlouvy jsou Všeobecné obchodní podmínky PMDP</w:t>
      </w:r>
      <w:r w:rsidR="00653B46">
        <w:rPr>
          <w:sz w:val="24"/>
          <w:szCs w:val="24"/>
        </w:rPr>
        <w:t>, a.s., které tvoří Přílohu č. 1</w:t>
      </w:r>
      <w:r w:rsidR="00DE00B7">
        <w:rPr>
          <w:sz w:val="24"/>
          <w:szCs w:val="24"/>
        </w:rPr>
        <w:t xml:space="preserve"> této Smlouvy.</w:t>
      </w:r>
      <w:r w:rsidRPr="00A01560">
        <w:rPr>
          <w:sz w:val="24"/>
          <w:szCs w:val="24"/>
        </w:rPr>
        <w:t xml:space="preserve"> V případě kolize ustanovení této Smlouvy a Všeobecných obchodních podmínek, má přednost tato Smlouva.   </w:t>
      </w:r>
    </w:p>
    <w:p w14:paraId="5B2046D0" w14:textId="77777777" w:rsidR="00A01560" w:rsidRP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77777777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A87426" w:rsidRPr="00AE3861">
        <w:rPr>
          <w:sz w:val="24"/>
          <w:szCs w:val="24"/>
        </w:rPr>
        <w:t>K</w:t>
      </w:r>
      <w:r w:rsidRPr="00AE3861">
        <w:rPr>
          <w:sz w:val="24"/>
          <w:szCs w:val="24"/>
        </w:rPr>
        <w:t xml:space="preserve">upní smlouvy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5" w14:textId="69E7A17C" w:rsidR="005666CA" w:rsidRPr="00AE3861" w:rsidRDefault="007D409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653B46">
        <w:rPr>
          <w:b/>
          <w:sz w:val="24"/>
          <w:szCs w:val="24"/>
        </w:rPr>
        <w:t>1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5B2046D7" w14:textId="77777777" w:rsidR="005905B9" w:rsidRDefault="005905B9" w:rsidP="006B4394">
      <w:pPr>
        <w:rPr>
          <w:sz w:val="24"/>
          <w:szCs w:val="24"/>
        </w:rPr>
      </w:pPr>
    </w:p>
    <w:p w14:paraId="3505C867" w14:textId="429374B6" w:rsidR="00DE00B7" w:rsidRDefault="006B4394" w:rsidP="00DE00B7">
      <w:pPr>
        <w:rPr>
          <w:sz w:val="24"/>
          <w:szCs w:val="24"/>
        </w:rPr>
      </w:pPr>
      <w:r w:rsidRPr="00AE3861">
        <w:rPr>
          <w:sz w:val="24"/>
          <w:szCs w:val="24"/>
        </w:rPr>
        <w:t>V</w:t>
      </w:r>
      <w:r w:rsidR="00DE00B7">
        <w:rPr>
          <w:sz w:val="24"/>
          <w:szCs w:val="24"/>
        </w:rPr>
        <w:t>……</w:t>
      </w:r>
      <w:r w:rsidRPr="00AE3861">
        <w:rPr>
          <w:sz w:val="24"/>
          <w:szCs w:val="24"/>
        </w:rPr>
        <w:t xml:space="preserve"> dne</w:t>
      </w:r>
      <w:r w:rsidR="00DE00B7">
        <w:rPr>
          <w:sz w:val="24"/>
          <w:szCs w:val="24"/>
        </w:rPr>
        <w:t xml:space="preserve"> dle data elektronického podpisu</w:t>
      </w:r>
      <w:r w:rsidR="00DE00B7">
        <w:rPr>
          <w:sz w:val="24"/>
          <w:szCs w:val="24"/>
        </w:rPr>
        <w:tab/>
        <w:t xml:space="preserve">         </w:t>
      </w:r>
      <w:r w:rsidR="00DE00B7" w:rsidRPr="00AE3861">
        <w:rPr>
          <w:sz w:val="24"/>
          <w:szCs w:val="24"/>
        </w:rPr>
        <w:t>V Plzni dne</w:t>
      </w:r>
      <w:r w:rsidR="00DE00B7">
        <w:rPr>
          <w:sz w:val="24"/>
          <w:szCs w:val="24"/>
        </w:rPr>
        <w:t xml:space="preserve"> dle data elektronického podpisu</w:t>
      </w:r>
    </w:p>
    <w:p w14:paraId="5B2046D8" w14:textId="0651200B" w:rsidR="006B4394" w:rsidRDefault="006B4394" w:rsidP="006B4394">
      <w:pPr>
        <w:rPr>
          <w:sz w:val="24"/>
          <w:szCs w:val="24"/>
        </w:rPr>
      </w:pPr>
    </w:p>
    <w:p w14:paraId="5B2046D9" w14:textId="77777777" w:rsidR="005905B9" w:rsidRDefault="005905B9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1"/>
        <w:gridCol w:w="4606"/>
      </w:tblGrid>
      <w:tr w:rsidR="006B4394" w:rsidRPr="00C04FCC" w14:paraId="5B2046E6" w14:textId="77777777">
        <w:trPr>
          <w:trHeight w:val="417"/>
        </w:trPr>
        <w:tc>
          <w:tcPr>
            <w:tcW w:w="4606" w:type="dxa"/>
            <w:gridSpan w:val="2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E" w14:textId="77777777" w:rsidR="00EF7F8A" w:rsidRDefault="00EF7F8A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F" w14:textId="77777777" w:rsidR="009950E5" w:rsidRDefault="009950E5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606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3" w14:textId="77777777" w:rsidR="00EF7F8A" w:rsidRPr="00C04FCC" w:rsidRDefault="00EF7F8A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77777777" w:rsidR="00E23E43" w:rsidRPr="00C04FCC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9" w14:textId="77777777">
        <w:tc>
          <w:tcPr>
            <w:tcW w:w="4606" w:type="dxa"/>
            <w:gridSpan w:val="2"/>
          </w:tcPr>
          <w:p w14:paraId="5B2046E7" w14:textId="77777777" w:rsidR="00630486" w:rsidRPr="00A01560" w:rsidRDefault="00260420" w:rsidP="000A71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1560">
              <w:rPr>
                <w:b/>
                <w:sz w:val="24"/>
                <w:szCs w:val="24"/>
              </w:rPr>
              <w:t xml:space="preserve">Prodávající </w:t>
            </w:r>
            <w:r w:rsidR="00C04FCC" w:rsidRPr="00A01560">
              <w:rPr>
                <w:b/>
                <w:sz w:val="24"/>
                <w:szCs w:val="24"/>
              </w:rPr>
              <w:t xml:space="preserve">č. </w:t>
            </w:r>
            <w:r w:rsidRPr="00A015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14:paraId="5B2046E8" w14:textId="77777777" w:rsidR="00630486" w:rsidRPr="00C04FCC" w:rsidRDefault="00F40CD8" w:rsidP="000A7183">
            <w:pPr>
              <w:snapToGrid w:val="0"/>
              <w:jc w:val="center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</w:rPr>
              <w:t>Kupující</w:t>
            </w:r>
          </w:p>
        </w:tc>
      </w:tr>
      <w:tr w:rsidR="00630486" w:rsidRPr="00C04FCC" w14:paraId="5B2046ED" w14:textId="77777777">
        <w:tc>
          <w:tcPr>
            <w:tcW w:w="4606" w:type="dxa"/>
            <w:gridSpan w:val="2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10F1681" w14:textId="0674F546" w:rsidR="000D6D8A" w:rsidRDefault="0036463C" w:rsidP="000D6D8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</w:t>
            </w:r>
            <w:r w:rsidR="00DE00B7">
              <w:rPr>
                <w:sz w:val="24"/>
                <w:szCs w:val="24"/>
                <w:lang w:eastAsia="cs-CZ"/>
              </w:rPr>
              <w:t>g</w:t>
            </w:r>
            <w:r>
              <w:rPr>
                <w:sz w:val="24"/>
                <w:szCs w:val="24"/>
                <w:lang w:eastAsia="cs-CZ"/>
              </w:rPr>
              <w:t>r</w:t>
            </w:r>
            <w:r w:rsidR="00DE00B7">
              <w:rPr>
                <w:sz w:val="24"/>
                <w:szCs w:val="24"/>
                <w:lang w:eastAsia="cs-CZ"/>
              </w:rPr>
              <w:t xml:space="preserve">. </w:t>
            </w:r>
            <w:r>
              <w:rPr>
                <w:sz w:val="24"/>
                <w:szCs w:val="24"/>
                <w:lang w:eastAsia="cs-CZ"/>
              </w:rPr>
              <w:t>Jan</w:t>
            </w:r>
            <w:r w:rsidR="00DE00B7">
              <w:rPr>
                <w:sz w:val="24"/>
                <w:szCs w:val="24"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Schejbal</w:t>
            </w:r>
            <w:r w:rsidR="00DE00B7">
              <w:rPr>
                <w:sz w:val="24"/>
                <w:szCs w:val="24"/>
                <w:lang w:eastAsia="cs-CZ"/>
              </w:rPr>
              <w:t>, MBA</w:t>
            </w:r>
          </w:p>
          <w:p w14:paraId="5B2046EC" w14:textId="47AE48C4" w:rsidR="00630486" w:rsidRPr="00C04FCC" w:rsidRDefault="0036463C" w:rsidP="000D6D8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ekonomický</w:t>
            </w:r>
            <w:r w:rsidR="00DE00B7">
              <w:rPr>
                <w:sz w:val="24"/>
                <w:szCs w:val="24"/>
                <w:lang w:eastAsia="cs-CZ"/>
              </w:rPr>
              <w:t xml:space="preserve"> ředitel</w:t>
            </w:r>
          </w:p>
        </w:tc>
      </w:tr>
      <w:tr w:rsidR="00630486" w:rsidRPr="00C04FCC" w14:paraId="5B2046F0" w14:textId="77777777">
        <w:tc>
          <w:tcPr>
            <w:tcW w:w="4606" w:type="dxa"/>
            <w:gridSpan w:val="2"/>
          </w:tcPr>
          <w:p w14:paraId="4F02CB26" w14:textId="77777777" w:rsidR="005E1A99" w:rsidRDefault="005E1A99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</w:p>
          <w:p w14:paraId="1FE8EDFB" w14:textId="77777777" w:rsidR="005E1A99" w:rsidRDefault="005E1A99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</w:p>
          <w:p w14:paraId="0A559956" w14:textId="77777777" w:rsidR="005E1A99" w:rsidRDefault="005E1A99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</w:p>
          <w:p w14:paraId="5B2046EE" w14:textId="61E0DB9A" w:rsidR="00630486" w:rsidRPr="00C04FCC" w:rsidRDefault="00630486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</w:rPr>
              <w:tab/>
            </w:r>
            <w:r w:rsidR="00DE00B7" w:rsidRPr="00AE3861">
              <w:rPr>
                <w:sz w:val="24"/>
                <w:szCs w:val="24"/>
              </w:rPr>
              <w:t>V</w:t>
            </w:r>
            <w:r w:rsidR="00DE00B7">
              <w:rPr>
                <w:sz w:val="24"/>
                <w:szCs w:val="24"/>
              </w:rPr>
              <w:t>……</w:t>
            </w:r>
            <w:r w:rsidR="00DE00B7" w:rsidRPr="00AE3861">
              <w:rPr>
                <w:sz w:val="24"/>
                <w:szCs w:val="24"/>
              </w:rPr>
              <w:t xml:space="preserve"> dne</w:t>
            </w:r>
            <w:r w:rsidR="00DE00B7">
              <w:rPr>
                <w:sz w:val="24"/>
                <w:szCs w:val="24"/>
              </w:rPr>
              <w:t xml:space="preserve"> dle data elektronického podpisu</w:t>
            </w:r>
          </w:p>
        </w:tc>
        <w:tc>
          <w:tcPr>
            <w:tcW w:w="4606" w:type="dxa"/>
          </w:tcPr>
          <w:p w14:paraId="5B2046EF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4FA7" w:rsidRPr="00C04FCC" w14:paraId="5B2046F3" w14:textId="77777777" w:rsidTr="00040F1A">
        <w:tc>
          <w:tcPr>
            <w:tcW w:w="4606" w:type="dxa"/>
            <w:gridSpan w:val="2"/>
          </w:tcPr>
          <w:p w14:paraId="5B2046F1" w14:textId="77777777" w:rsidR="00244FA7" w:rsidRPr="00C04FCC" w:rsidRDefault="00244FA7" w:rsidP="00040F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B2046F2" w14:textId="77777777" w:rsidR="00244FA7" w:rsidRPr="00C04FCC" w:rsidRDefault="00244FA7" w:rsidP="00040F1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</w:tc>
      </w:tr>
      <w:tr w:rsidR="009950E5" w:rsidRPr="00C04FCC" w14:paraId="5B2046F9" w14:textId="77777777" w:rsidTr="00BA6F37">
        <w:trPr>
          <w:gridAfter w:val="1"/>
          <w:wAfter w:w="4606" w:type="dxa"/>
          <w:trHeight w:val="417"/>
        </w:trPr>
        <w:tc>
          <w:tcPr>
            <w:tcW w:w="4606" w:type="dxa"/>
            <w:gridSpan w:val="2"/>
          </w:tcPr>
          <w:p w14:paraId="5B2046F4" w14:textId="77777777" w:rsidR="009950E5" w:rsidRPr="00C04FCC" w:rsidRDefault="009950E5" w:rsidP="00BA6F37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F5" w14:textId="77777777" w:rsidR="009950E5" w:rsidRPr="00C04FCC" w:rsidRDefault="009950E5" w:rsidP="00BA6F3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F6" w14:textId="77777777" w:rsidR="009950E5" w:rsidRDefault="009950E5" w:rsidP="00BA6F3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F7" w14:textId="77777777" w:rsidR="009950E5" w:rsidRDefault="009950E5" w:rsidP="00BA6F3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F8" w14:textId="77777777" w:rsidR="009950E5" w:rsidRPr="00C04FCC" w:rsidRDefault="009950E5" w:rsidP="00BA6F37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</w:tr>
      <w:tr w:rsidR="009950E5" w:rsidRPr="00A01560" w14:paraId="5B2046FB" w14:textId="77777777" w:rsidTr="00BA6F37">
        <w:trPr>
          <w:gridAfter w:val="1"/>
          <w:wAfter w:w="4606" w:type="dxa"/>
        </w:trPr>
        <w:tc>
          <w:tcPr>
            <w:tcW w:w="4606" w:type="dxa"/>
            <w:gridSpan w:val="2"/>
          </w:tcPr>
          <w:p w14:paraId="5B2046FA" w14:textId="77777777" w:rsidR="009950E5" w:rsidRPr="00A01560" w:rsidRDefault="009950E5" w:rsidP="009950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1560">
              <w:rPr>
                <w:b/>
                <w:sz w:val="24"/>
                <w:szCs w:val="24"/>
              </w:rPr>
              <w:t xml:space="preserve">Prodávající č.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9950E5" w:rsidRPr="00C04FCC" w14:paraId="5B2046FE" w14:textId="77777777" w:rsidTr="00BA6F37">
        <w:trPr>
          <w:gridAfter w:val="1"/>
          <w:wAfter w:w="4606" w:type="dxa"/>
        </w:trPr>
        <w:tc>
          <w:tcPr>
            <w:tcW w:w="4606" w:type="dxa"/>
            <w:gridSpan w:val="2"/>
          </w:tcPr>
          <w:p w14:paraId="5B2046FC" w14:textId="77777777" w:rsidR="009950E5" w:rsidRPr="00C04FCC" w:rsidRDefault="009950E5" w:rsidP="00BA6F37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FD" w14:textId="77777777" w:rsidR="009950E5" w:rsidRPr="00C04FCC" w:rsidRDefault="009950E5" w:rsidP="00BA6F3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04FCC" w:rsidRPr="00C04FCC" w14:paraId="5B204700" w14:textId="77777777" w:rsidTr="00C04FCC">
        <w:tc>
          <w:tcPr>
            <w:tcW w:w="9212" w:type="dxa"/>
            <w:gridSpan w:val="3"/>
          </w:tcPr>
          <w:p w14:paraId="39CF39B2" w14:textId="77777777" w:rsidR="000D6D8A" w:rsidRDefault="000D6D8A" w:rsidP="009950E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355BB8D" w14:textId="54753B9D" w:rsidR="000D6D8A" w:rsidRDefault="00DE00B7" w:rsidP="00DE00B7">
            <w:pPr>
              <w:snapToGrid w:val="0"/>
              <w:rPr>
                <w:sz w:val="24"/>
                <w:szCs w:val="24"/>
              </w:rPr>
            </w:pPr>
            <w:r w:rsidRPr="00AE386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……</w:t>
            </w:r>
            <w:r w:rsidRPr="00AE3861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 xml:space="preserve"> dle data elektronického podpisu</w:t>
            </w:r>
          </w:p>
          <w:p w14:paraId="4DAF4AC9" w14:textId="77777777" w:rsidR="000D6D8A" w:rsidRDefault="000D6D8A" w:rsidP="009950E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7275CA0" w14:textId="77777777" w:rsidR="000D6D8A" w:rsidRDefault="000D6D8A" w:rsidP="009950E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B2046FF" w14:textId="44C2258D" w:rsidR="00C04FCC" w:rsidRPr="00C04FCC" w:rsidRDefault="00C04FCC" w:rsidP="009950E5">
            <w:pPr>
              <w:snapToGrid w:val="0"/>
              <w:jc w:val="center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</w:rPr>
              <w:tab/>
            </w:r>
            <w:r w:rsidRPr="00C04FCC">
              <w:rPr>
                <w:sz w:val="24"/>
                <w:szCs w:val="24"/>
              </w:rPr>
              <w:tab/>
            </w:r>
          </w:p>
        </w:tc>
      </w:tr>
      <w:tr w:rsidR="009950E5" w:rsidRPr="00C04FCC" w14:paraId="5B204706" w14:textId="77777777" w:rsidTr="009950E5">
        <w:trPr>
          <w:gridAfter w:val="2"/>
          <w:wAfter w:w="4747" w:type="dxa"/>
        </w:trPr>
        <w:tc>
          <w:tcPr>
            <w:tcW w:w="4465" w:type="dxa"/>
          </w:tcPr>
          <w:p w14:paraId="5B204701" w14:textId="77777777" w:rsidR="009950E5" w:rsidRPr="00C04FCC" w:rsidRDefault="009950E5" w:rsidP="009950E5">
            <w:pPr>
              <w:snapToGrid w:val="0"/>
              <w:rPr>
                <w:sz w:val="24"/>
                <w:szCs w:val="24"/>
                <w:lang w:eastAsia="cs-CZ"/>
              </w:rPr>
            </w:pPr>
            <w:r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 xml:space="preserve">                         </w:t>
            </w: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702" w14:textId="77777777" w:rsidR="009950E5" w:rsidRPr="00C04FCC" w:rsidRDefault="009950E5" w:rsidP="009950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703" w14:textId="77777777" w:rsidR="009950E5" w:rsidRDefault="009950E5" w:rsidP="009950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704" w14:textId="77777777" w:rsidR="009950E5" w:rsidRDefault="009950E5" w:rsidP="009950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705" w14:textId="77777777" w:rsidR="009950E5" w:rsidRPr="009950E5" w:rsidRDefault="009950E5" w:rsidP="009950E5">
            <w:pPr>
              <w:snapToGrid w:val="0"/>
              <w:rPr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</w:t>
            </w:r>
            <w:r w:rsidR="00E13206">
              <w:rPr>
                <w:b/>
                <w:sz w:val="24"/>
                <w:szCs w:val="24"/>
              </w:rPr>
              <w:t>...............................</w:t>
            </w:r>
          </w:p>
        </w:tc>
      </w:tr>
      <w:tr w:rsidR="009950E5" w:rsidRPr="00A01560" w14:paraId="5B204708" w14:textId="77777777" w:rsidTr="009950E5">
        <w:trPr>
          <w:gridAfter w:val="2"/>
          <w:wAfter w:w="4747" w:type="dxa"/>
        </w:trPr>
        <w:tc>
          <w:tcPr>
            <w:tcW w:w="4465" w:type="dxa"/>
          </w:tcPr>
          <w:p w14:paraId="5B204707" w14:textId="77777777" w:rsidR="009950E5" w:rsidRPr="009950E5" w:rsidRDefault="009950E5" w:rsidP="009950E5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A01560">
              <w:rPr>
                <w:b/>
                <w:sz w:val="24"/>
                <w:szCs w:val="24"/>
              </w:rPr>
              <w:t xml:space="preserve">Prodávající č.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950E5" w:rsidRPr="00C04FCC" w14:paraId="5B20470B" w14:textId="77777777" w:rsidTr="009950E5">
        <w:tc>
          <w:tcPr>
            <w:tcW w:w="9212" w:type="dxa"/>
            <w:gridSpan w:val="3"/>
          </w:tcPr>
          <w:p w14:paraId="5B204709" w14:textId="77777777" w:rsidR="009950E5" w:rsidRPr="00C04FCC" w:rsidRDefault="009950E5" w:rsidP="009950E5">
            <w:pPr>
              <w:snapToGrid w:val="0"/>
              <w:rPr>
                <w:sz w:val="24"/>
                <w:szCs w:val="24"/>
                <w:lang w:eastAsia="cs-CZ"/>
              </w:rPr>
            </w:pPr>
            <w:r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 xml:space="preserve">                           </w:t>
            </w: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7874B96F" w14:textId="77777777" w:rsidR="009950E5" w:rsidRDefault="009950E5" w:rsidP="009950E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B20470A" w14:textId="325B6D16" w:rsidR="00CC1206" w:rsidRPr="00C04FCC" w:rsidRDefault="00CC1206" w:rsidP="009950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04FCC" w:rsidRPr="00C04FCC" w14:paraId="5B20470D" w14:textId="77777777" w:rsidTr="00C04FCC">
        <w:tc>
          <w:tcPr>
            <w:tcW w:w="9212" w:type="dxa"/>
            <w:gridSpan w:val="3"/>
          </w:tcPr>
          <w:p w14:paraId="5B20470C" w14:textId="77777777" w:rsidR="00C04FCC" w:rsidRPr="00C04FCC" w:rsidRDefault="00C04FCC" w:rsidP="00BA6F37">
            <w:pPr>
              <w:snapToGrid w:val="0"/>
              <w:rPr>
                <w:sz w:val="24"/>
                <w:szCs w:val="24"/>
              </w:rPr>
            </w:pPr>
          </w:p>
        </w:tc>
      </w:tr>
      <w:tr w:rsidR="00C04FCC" w:rsidRPr="00C04FCC" w14:paraId="5B20470F" w14:textId="77777777" w:rsidTr="00C04FCC">
        <w:tc>
          <w:tcPr>
            <w:tcW w:w="9212" w:type="dxa"/>
            <w:gridSpan w:val="3"/>
          </w:tcPr>
          <w:p w14:paraId="5B20470E" w14:textId="57F75A17" w:rsidR="00C04FCC" w:rsidRPr="00C04FCC" w:rsidRDefault="00C04FCC" w:rsidP="00BA6F37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</w:p>
        </w:tc>
      </w:tr>
      <w:tr w:rsidR="00C04FCC" w:rsidRPr="00AE3861" w14:paraId="5B204712" w14:textId="77777777" w:rsidTr="00BA6F37">
        <w:tc>
          <w:tcPr>
            <w:tcW w:w="4606" w:type="dxa"/>
            <w:gridSpan w:val="2"/>
          </w:tcPr>
          <w:p w14:paraId="5B204710" w14:textId="77777777" w:rsidR="00C04FCC" w:rsidRPr="00AE3861" w:rsidRDefault="00C04FCC" w:rsidP="00BA6F3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B204711" w14:textId="77777777" w:rsidR="00C04FCC" w:rsidRPr="00AE3861" w:rsidRDefault="00C04FCC" w:rsidP="00BA6F3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04FCC" w:rsidRPr="00AE3861" w14:paraId="5B204715" w14:textId="77777777" w:rsidTr="00BA6F37">
        <w:tc>
          <w:tcPr>
            <w:tcW w:w="4606" w:type="dxa"/>
            <w:gridSpan w:val="2"/>
          </w:tcPr>
          <w:p w14:paraId="5B204713" w14:textId="47481738" w:rsidR="00C04FCC" w:rsidRPr="00AE3861" w:rsidRDefault="00C04FCC" w:rsidP="00BA6F3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B204714" w14:textId="77777777" w:rsidR="00C04FCC" w:rsidRPr="00AE3861" w:rsidRDefault="00C04FCC" w:rsidP="00BA6F37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5B204728" w14:textId="77777777" w:rsidR="00C04FCC" w:rsidRPr="00AE3861" w:rsidRDefault="00C04FCC" w:rsidP="00C04FCC">
      <w:pPr>
        <w:ind w:left="709" w:firstLine="709"/>
        <w:rPr>
          <w:sz w:val="24"/>
          <w:szCs w:val="24"/>
        </w:rPr>
      </w:pPr>
    </w:p>
    <w:p w14:paraId="5B204729" w14:textId="77777777" w:rsidR="00C04FCC" w:rsidRPr="00AE3861" w:rsidRDefault="00C04FCC" w:rsidP="00C04FCC">
      <w:pPr>
        <w:ind w:left="709" w:firstLine="709"/>
        <w:rPr>
          <w:sz w:val="24"/>
          <w:szCs w:val="24"/>
        </w:rPr>
      </w:pPr>
    </w:p>
    <w:sectPr w:rsidR="00C04FCC" w:rsidRPr="00AE3861" w:rsidSect="009349F5">
      <w:headerReference w:type="default" r:id="rId14"/>
      <w:footerReference w:type="default" r:id="rId15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CF21" w14:textId="77777777" w:rsidR="003E0E93" w:rsidRDefault="003E0E93">
      <w:r>
        <w:separator/>
      </w:r>
    </w:p>
  </w:endnote>
  <w:endnote w:type="continuationSeparator" w:id="0">
    <w:p w14:paraId="0DD86CBA" w14:textId="77777777" w:rsidR="003E0E93" w:rsidRDefault="003E0E93">
      <w:r>
        <w:continuationSeparator/>
      </w:r>
    </w:p>
  </w:endnote>
  <w:endnote w:type="continuationNotice" w:id="1">
    <w:p w14:paraId="3B0CFC99" w14:textId="77777777" w:rsidR="003E0E93" w:rsidRDefault="003E0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6F3807C4" w:rsidR="003E0E93" w:rsidRDefault="003E0E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617">
      <w:rPr>
        <w:noProof/>
      </w:rPr>
      <w:t>6</w:t>
    </w:r>
    <w:r>
      <w:fldChar w:fldCharType="end"/>
    </w:r>
  </w:p>
  <w:p w14:paraId="5B204731" w14:textId="77777777" w:rsidR="003E0E93" w:rsidRDefault="003E0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6EC3" w14:textId="77777777" w:rsidR="003E0E93" w:rsidRDefault="003E0E93">
      <w:r>
        <w:separator/>
      </w:r>
    </w:p>
  </w:footnote>
  <w:footnote w:type="continuationSeparator" w:id="0">
    <w:p w14:paraId="36E2483A" w14:textId="77777777" w:rsidR="003E0E93" w:rsidRDefault="003E0E93">
      <w:r>
        <w:continuationSeparator/>
      </w:r>
    </w:p>
  </w:footnote>
  <w:footnote w:type="continuationNotice" w:id="1">
    <w:p w14:paraId="04095E0B" w14:textId="77777777" w:rsidR="003E0E93" w:rsidRDefault="003E0E93"/>
  </w:footnote>
  <w:footnote w:id="2">
    <w:p w14:paraId="62DA28B7" w14:textId="63E0FDC2" w:rsidR="00653B46" w:rsidRDefault="00653B46" w:rsidP="00653B4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nabídce se každý účastník poptávkového řízení identifikuje jako „Prodávající č. 1“; Zadavatel před podpisem smlouvy s vybranými dodavateli upraví text této smlouvy tak, aby jejími účastníky byli všichni dodavatelé vybraní dle podmínek poptávkového řízení. Jedná se o rámcovou dohodu s více účastníky.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DB5E" w14:textId="77777777" w:rsidR="003E0E93" w:rsidRDefault="003E0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B22C5"/>
    <w:multiLevelType w:val="hybridMultilevel"/>
    <w:tmpl w:val="C34E2BC4"/>
    <w:lvl w:ilvl="0" w:tplc="86E45DCC">
      <w:start w:val="1"/>
      <w:numFmt w:val="decimal"/>
      <w:lvlText w:val="2.%1."/>
      <w:lvlJc w:val="left"/>
      <w:pPr>
        <w:ind w:left="588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10"/>
  </w:num>
  <w:num w:numId="5">
    <w:abstractNumId w:val="9"/>
  </w:num>
  <w:num w:numId="6">
    <w:abstractNumId w:val="18"/>
  </w:num>
  <w:num w:numId="7">
    <w:abstractNumId w:val="22"/>
  </w:num>
  <w:num w:numId="8">
    <w:abstractNumId w:val="8"/>
  </w:num>
  <w:num w:numId="9">
    <w:abstractNumId w:val="20"/>
  </w:num>
  <w:num w:numId="10">
    <w:abstractNumId w:val="5"/>
  </w:num>
  <w:num w:numId="11">
    <w:abstractNumId w:val="16"/>
  </w:num>
  <w:num w:numId="12">
    <w:abstractNumId w:val="21"/>
  </w:num>
  <w:num w:numId="13">
    <w:abstractNumId w:val="15"/>
  </w:num>
  <w:num w:numId="14">
    <w:abstractNumId w:val="7"/>
  </w:num>
  <w:num w:numId="15">
    <w:abstractNumId w:val="11"/>
  </w:num>
  <w:num w:numId="16">
    <w:abstractNumId w:val="6"/>
  </w:num>
  <w:num w:numId="17">
    <w:abstractNumId w:val="12"/>
  </w:num>
  <w:num w:numId="18">
    <w:abstractNumId w:val="23"/>
  </w:num>
  <w:num w:numId="19">
    <w:abstractNumId w:val="24"/>
  </w:num>
  <w:num w:numId="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6CB"/>
    <w:rsid w:val="00002490"/>
    <w:rsid w:val="00006F3C"/>
    <w:rsid w:val="0000755F"/>
    <w:rsid w:val="00007EC3"/>
    <w:rsid w:val="00013872"/>
    <w:rsid w:val="00014FAF"/>
    <w:rsid w:val="00014FBF"/>
    <w:rsid w:val="0001631C"/>
    <w:rsid w:val="00020303"/>
    <w:rsid w:val="00023224"/>
    <w:rsid w:val="00030C49"/>
    <w:rsid w:val="00034158"/>
    <w:rsid w:val="00040F1A"/>
    <w:rsid w:val="0006372A"/>
    <w:rsid w:val="00064C53"/>
    <w:rsid w:val="00076DDA"/>
    <w:rsid w:val="00077F30"/>
    <w:rsid w:val="00081748"/>
    <w:rsid w:val="000857B1"/>
    <w:rsid w:val="00085AD8"/>
    <w:rsid w:val="00090ACE"/>
    <w:rsid w:val="000A3601"/>
    <w:rsid w:val="000A7183"/>
    <w:rsid w:val="000B2BF3"/>
    <w:rsid w:val="000B3790"/>
    <w:rsid w:val="000C6AC6"/>
    <w:rsid w:val="000D29F9"/>
    <w:rsid w:val="000D6D8A"/>
    <w:rsid w:val="000E0946"/>
    <w:rsid w:val="000E2F97"/>
    <w:rsid w:val="000E6445"/>
    <w:rsid w:val="000E7595"/>
    <w:rsid w:val="000F01A4"/>
    <w:rsid w:val="000F5BF2"/>
    <w:rsid w:val="000F60D1"/>
    <w:rsid w:val="00100F17"/>
    <w:rsid w:val="00101562"/>
    <w:rsid w:val="0010712C"/>
    <w:rsid w:val="00121F36"/>
    <w:rsid w:val="001240F3"/>
    <w:rsid w:val="00125C5B"/>
    <w:rsid w:val="001357C6"/>
    <w:rsid w:val="00140AE9"/>
    <w:rsid w:val="00143E8A"/>
    <w:rsid w:val="0014502E"/>
    <w:rsid w:val="001557C2"/>
    <w:rsid w:val="00163276"/>
    <w:rsid w:val="00187E31"/>
    <w:rsid w:val="00191DBA"/>
    <w:rsid w:val="001A03E9"/>
    <w:rsid w:val="001A1B75"/>
    <w:rsid w:val="001A4978"/>
    <w:rsid w:val="001A563D"/>
    <w:rsid w:val="001A5CC0"/>
    <w:rsid w:val="001B3D72"/>
    <w:rsid w:val="001B6737"/>
    <w:rsid w:val="001E0606"/>
    <w:rsid w:val="001E40A6"/>
    <w:rsid w:val="001E5002"/>
    <w:rsid w:val="001E6274"/>
    <w:rsid w:val="00201E33"/>
    <w:rsid w:val="002039D7"/>
    <w:rsid w:val="002113A4"/>
    <w:rsid w:val="00215FF7"/>
    <w:rsid w:val="0022544B"/>
    <w:rsid w:val="0022692D"/>
    <w:rsid w:val="00232D40"/>
    <w:rsid w:val="00236522"/>
    <w:rsid w:val="00241946"/>
    <w:rsid w:val="00242DB6"/>
    <w:rsid w:val="00244FA7"/>
    <w:rsid w:val="00252590"/>
    <w:rsid w:val="00260420"/>
    <w:rsid w:val="00266DB2"/>
    <w:rsid w:val="002724F4"/>
    <w:rsid w:val="00274DFA"/>
    <w:rsid w:val="00275BC9"/>
    <w:rsid w:val="002831A1"/>
    <w:rsid w:val="002845B0"/>
    <w:rsid w:val="002849AC"/>
    <w:rsid w:val="00286F4A"/>
    <w:rsid w:val="00287C44"/>
    <w:rsid w:val="002A3C99"/>
    <w:rsid w:val="002A4E72"/>
    <w:rsid w:val="002B79B8"/>
    <w:rsid w:val="002C3B15"/>
    <w:rsid w:val="002D57A9"/>
    <w:rsid w:val="002E679C"/>
    <w:rsid w:val="002E700A"/>
    <w:rsid w:val="002F1918"/>
    <w:rsid w:val="002F5A3C"/>
    <w:rsid w:val="002F6EDD"/>
    <w:rsid w:val="00301F89"/>
    <w:rsid w:val="00304B14"/>
    <w:rsid w:val="00312B3D"/>
    <w:rsid w:val="00321B7C"/>
    <w:rsid w:val="003249E6"/>
    <w:rsid w:val="00326442"/>
    <w:rsid w:val="00334011"/>
    <w:rsid w:val="003352A7"/>
    <w:rsid w:val="00336D29"/>
    <w:rsid w:val="00345C9C"/>
    <w:rsid w:val="003562AA"/>
    <w:rsid w:val="003619E0"/>
    <w:rsid w:val="003629B2"/>
    <w:rsid w:val="0036463C"/>
    <w:rsid w:val="00366C98"/>
    <w:rsid w:val="00373AE6"/>
    <w:rsid w:val="003748B5"/>
    <w:rsid w:val="00375872"/>
    <w:rsid w:val="00375C21"/>
    <w:rsid w:val="003770F4"/>
    <w:rsid w:val="00377DDD"/>
    <w:rsid w:val="003807DA"/>
    <w:rsid w:val="00381EF5"/>
    <w:rsid w:val="0038475B"/>
    <w:rsid w:val="00387ACB"/>
    <w:rsid w:val="00390ED4"/>
    <w:rsid w:val="003A2FAD"/>
    <w:rsid w:val="003A5AEF"/>
    <w:rsid w:val="003A7FEE"/>
    <w:rsid w:val="003C1C14"/>
    <w:rsid w:val="003D420A"/>
    <w:rsid w:val="003D4572"/>
    <w:rsid w:val="003D78FF"/>
    <w:rsid w:val="003E0E93"/>
    <w:rsid w:val="003E0F5F"/>
    <w:rsid w:val="003E335B"/>
    <w:rsid w:val="003E5CB9"/>
    <w:rsid w:val="003F286D"/>
    <w:rsid w:val="003F63FF"/>
    <w:rsid w:val="00413D9B"/>
    <w:rsid w:val="00422227"/>
    <w:rsid w:val="00424B98"/>
    <w:rsid w:val="00431974"/>
    <w:rsid w:val="00460CC8"/>
    <w:rsid w:val="00463063"/>
    <w:rsid w:val="00465F98"/>
    <w:rsid w:val="00471104"/>
    <w:rsid w:val="00482704"/>
    <w:rsid w:val="00483E8B"/>
    <w:rsid w:val="004939BD"/>
    <w:rsid w:val="004942CC"/>
    <w:rsid w:val="00497780"/>
    <w:rsid w:val="004A0D51"/>
    <w:rsid w:val="004A200B"/>
    <w:rsid w:val="004A2617"/>
    <w:rsid w:val="004A3158"/>
    <w:rsid w:val="004A4279"/>
    <w:rsid w:val="004A72E3"/>
    <w:rsid w:val="004B3F11"/>
    <w:rsid w:val="004B535E"/>
    <w:rsid w:val="004C72D6"/>
    <w:rsid w:val="004E411F"/>
    <w:rsid w:val="004E4AFC"/>
    <w:rsid w:val="004E7373"/>
    <w:rsid w:val="004F01FA"/>
    <w:rsid w:val="004F3EEF"/>
    <w:rsid w:val="00500D70"/>
    <w:rsid w:val="00501B82"/>
    <w:rsid w:val="005030CB"/>
    <w:rsid w:val="00505EAB"/>
    <w:rsid w:val="00507AA2"/>
    <w:rsid w:val="00512F1B"/>
    <w:rsid w:val="005162E8"/>
    <w:rsid w:val="005211E1"/>
    <w:rsid w:val="00522C96"/>
    <w:rsid w:val="00522F73"/>
    <w:rsid w:val="0052411E"/>
    <w:rsid w:val="00524442"/>
    <w:rsid w:val="00524824"/>
    <w:rsid w:val="005405D7"/>
    <w:rsid w:val="0054096B"/>
    <w:rsid w:val="00540F30"/>
    <w:rsid w:val="00541020"/>
    <w:rsid w:val="00543C4F"/>
    <w:rsid w:val="00546724"/>
    <w:rsid w:val="005506E2"/>
    <w:rsid w:val="005515D1"/>
    <w:rsid w:val="00553E16"/>
    <w:rsid w:val="00557D25"/>
    <w:rsid w:val="005609ED"/>
    <w:rsid w:val="00562B1F"/>
    <w:rsid w:val="0056495B"/>
    <w:rsid w:val="00564E4E"/>
    <w:rsid w:val="005666CA"/>
    <w:rsid w:val="005730EC"/>
    <w:rsid w:val="00574045"/>
    <w:rsid w:val="00584E6C"/>
    <w:rsid w:val="005905B9"/>
    <w:rsid w:val="0059433E"/>
    <w:rsid w:val="00594D1C"/>
    <w:rsid w:val="00597A45"/>
    <w:rsid w:val="005A3297"/>
    <w:rsid w:val="005A3727"/>
    <w:rsid w:val="005B42FF"/>
    <w:rsid w:val="005B5A38"/>
    <w:rsid w:val="005B6D35"/>
    <w:rsid w:val="005D114A"/>
    <w:rsid w:val="005D24A9"/>
    <w:rsid w:val="005D6FC6"/>
    <w:rsid w:val="005E1A99"/>
    <w:rsid w:val="005E4A40"/>
    <w:rsid w:val="006002E7"/>
    <w:rsid w:val="00600A24"/>
    <w:rsid w:val="006055A3"/>
    <w:rsid w:val="006232A0"/>
    <w:rsid w:val="0062623B"/>
    <w:rsid w:val="006265FD"/>
    <w:rsid w:val="00630486"/>
    <w:rsid w:val="0063322C"/>
    <w:rsid w:val="0063404A"/>
    <w:rsid w:val="006360B5"/>
    <w:rsid w:val="00637895"/>
    <w:rsid w:val="00640519"/>
    <w:rsid w:val="00642061"/>
    <w:rsid w:val="0064340F"/>
    <w:rsid w:val="00645625"/>
    <w:rsid w:val="00645E87"/>
    <w:rsid w:val="00653B46"/>
    <w:rsid w:val="00656617"/>
    <w:rsid w:val="00670C4B"/>
    <w:rsid w:val="006720B0"/>
    <w:rsid w:val="00673560"/>
    <w:rsid w:val="00676FF2"/>
    <w:rsid w:val="00681D59"/>
    <w:rsid w:val="00682FAB"/>
    <w:rsid w:val="0068740D"/>
    <w:rsid w:val="00691E6D"/>
    <w:rsid w:val="00697A62"/>
    <w:rsid w:val="006A1C7E"/>
    <w:rsid w:val="006A5DBA"/>
    <w:rsid w:val="006B257E"/>
    <w:rsid w:val="006B2E6A"/>
    <w:rsid w:val="006B4394"/>
    <w:rsid w:val="006B73CA"/>
    <w:rsid w:val="006B74EA"/>
    <w:rsid w:val="006D72C8"/>
    <w:rsid w:val="006E0B49"/>
    <w:rsid w:val="006E1170"/>
    <w:rsid w:val="006E1DF1"/>
    <w:rsid w:val="006E245E"/>
    <w:rsid w:val="006E7391"/>
    <w:rsid w:val="006F10DD"/>
    <w:rsid w:val="006F468A"/>
    <w:rsid w:val="006F57E9"/>
    <w:rsid w:val="00701E60"/>
    <w:rsid w:val="007031A5"/>
    <w:rsid w:val="00704677"/>
    <w:rsid w:val="0071753D"/>
    <w:rsid w:val="00730324"/>
    <w:rsid w:val="00743215"/>
    <w:rsid w:val="00745D98"/>
    <w:rsid w:val="0075294F"/>
    <w:rsid w:val="00760327"/>
    <w:rsid w:val="00785294"/>
    <w:rsid w:val="007875A2"/>
    <w:rsid w:val="007918C1"/>
    <w:rsid w:val="00791E19"/>
    <w:rsid w:val="007A2013"/>
    <w:rsid w:val="007A4F38"/>
    <w:rsid w:val="007B6159"/>
    <w:rsid w:val="007C5654"/>
    <w:rsid w:val="007C6143"/>
    <w:rsid w:val="007D4099"/>
    <w:rsid w:val="007D7454"/>
    <w:rsid w:val="007E2542"/>
    <w:rsid w:val="007E5866"/>
    <w:rsid w:val="007F0140"/>
    <w:rsid w:val="007F39C3"/>
    <w:rsid w:val="007F3C75"/>
    <w:rsid w:val="0081138F"/>
    <w:rsid w:val="00820CB6"/>
    <w:rsid w:val="0082176F"/>
    <w:rsid w:val="008262E7"/>
    <w:rsid w:val="00836C18"/>
    <w:rsid w:val="00845099"/>
    <w:rsid w:val="00847018"/>
    <w:rsid w:val="00856AB7"/>
    <w:rsid w:val="00866DB2"/>
    <w:rsid w:val="00883F77"/>
    <w:rsid w:val="00884676"/>
    <w:rsid w:val="00884F95"/>
    <w:rsid w:val="008866DB"/>
    <w:rsid w:val="00886F35"/>
    <w:rsid w:val="008878AF"/>
    <w:rsid w:val="008979C2"/>
    <w:rsid w:val="008A326D"/>
    <w:rsid w:val="008A3886"/>
    <w:rsid w:val="008A6DE1"/>
    <w:rsid w:val="008B6BE6"/>
    <w:rsid w:val="008C1BF7"/>
    <w:rsid w:val="008C4CBE"/>
    <w:rsid w:val="008D22A8"/>
    <w:rsid w:val="008D6AC0"/>
    <w:rsid w:val="008E225E"/>
    <w:rsid w:val="008E24E1"/>
    <w:rsid w:val="00905679"/>
    <w:rsid w:val="00907004"/>
    <w:rsid w:val="009215F4"/>
    <w:rsid w:val="00922436"/>
    <w:rsid w:val="009227B9"/>
    <w:rsid w:val="00933201"/>
    <w:rsid w:val="009349F5"/>
    <w:rsid w:val="00937CB6"/>
    <w:rsid w:val="0094150B"/>
    <w:rsid w:val="00954388"/>
    <w:rsid w:val="009575C6"/>
    <w:rsid w:val="00972E6C"/>
    <w:rsid w:val="009768F7"/>
    <w:rsid w:val="009774F9"/>
    <w:rsid w:val="00984464"/>
    <w:rsid w:val="00985795"/>
    <w:rsid w:val="00987D3A"/>
    <w:rsid w:val="00991D7E"/>
    <w:rsid w:val="009950E5"/>
    <w:rsid w:val="009A53D6"/>
    <w:rsid w:val="009B1326"/>
    <w:rsid w:val="009B2778"/>
    <w:rsid w:val="009B5896"/>
    <w:rsid w:val="009B5D84"/>
    <w:rsid w:val="009B60D7"/>
    <w:rsid w:val="009B7AD7"/>
    <w:rsid w:val="009C4FBB"/>
    <w:rsid w:val="009C551B"/>
    <w:rsid w:val="009D0ED7"/>
    <w:rsid w:val="009D1625"/>
    <w:rsid w:val="009D543C"/>
    <w:rsid w:val="009D7C87"/>
    <w:rsid w:val="009E0611"/>
    <w:rsid w:val="009E2A41"/>
    <w:rsid w:val="009F58A1"/>
    <w:rsid w:val="009F6BF4"/>
    <w:rsid w:val="00A01560"/>
    <w:rsid w:val="00A02E1F"/>
    <w:rsid w:val="00A10AEB"/>
    <w:rsid w:val="00A1285D"/>
    <w:rsid w:val="00A13346"/>
    <w:rsid w:val="00A16AF1"/>
    <w:rsid w:val="00A208C8"/>
    <w:rsid w:val="00A2099C"/>
    <w:rsid w:val="00A27887"/>
    <w:rsid w:val="00A37A6E"/>
    <w:rsid w:val="00A43B6C"/>
    <w:rsid w:val="00A50581"/>
    <w:rsid w:val="00A540B2"/>
    <w:rsid w:val="00A62A14"/>
    <w:rsid w:val="00A648B8"/>
    <w:rsid w:val="00A74D95"/>
    <w:rsid w:val="00A77565"/>
    <w:rsid w:val="00A87426"/>
    <w:rsid w:val="00AA233D"/>
    <w:rsid w:val="00AA6E75"/>
    <w:rsid w:val="00AB3FAE"/>
    <w:rsid w:val="00AC373A"/>
    <w:rsid w:val="00AD0280"/>
    <w:rsid w:val="00AD4E60"/>
    <w:rsid w:val="00AD756C"/>
    <w:rsid w:val="00AE3861"/>
    <w:rsid w:val="00AF04B2"/>
    <w:rsid w:val="00AF1B3D"/>
    <w:rsid w:val="00AF2B43"/>
    <w:rsid w:val="00B002DC"/>
    <w:rsid w:val="00B04562"/>
    <w:rsid w:val="00B05E83"/>
    <w:rsid w:val="00B06091"/>
    <w:rsid w:val="00B12750"/>
    <w:rsid w:val="00B13DD1"/>
    <w:rsid w:val="00B203F6"/>
    <w:rsid w:val="00B2348F"/>
    <w:rsid w:val="00B26588"/>
    <w:rsid w:val="00B41001"/>
    <w:rsid w:val="00B47FAB"/>
    <w:rsid w:val="00B5157D"/>
    <w:rsid w:val="00B54659"/>
    <w:rsid w:val="00B54CAC"/>
    <w:rsid w:val="00B57629"/>
    <w:rsid w:val="00BA33B8"/>
    <w:rsid w:val="00BA4B77"/>
    <w:rsid w:val="00BA4C1B"/>
    <w:rsid w:val="00BA6F37"/>
    <w:rsid w:val="00BC07C7"/>
    <w:rsid w:val="00BC2026"/>
    <w:rsid w:val="00BC3C8E"/>
    <w:rsid w:val="00BC62DC"/>
    <w:rsid w:val="00BD250C"/>
    <w:rsid w:val="00BD5C51"/>
    <w:rsid w:val="00BE1CE0"/>
    <w:rsid w:val="00BE31B8"/>
    <w:rsid w:val="00BE539D"/>
    <w:rsid w:val="00BF2970"/>
    <w:rsid w:val="00BF51C0"/>
    <w:rsid w:val="00BF6C46"/>
    <w:rsid w:val="00C0071C"/>
    <w:rsid w:val="00C03FEC"/>
    <w:rsid w:val="00C04FCC"/>
    <w:rsid w:val="00C3165D"/>
    <w:rsid w:val="00C33D50"/>
    <w:rsid w:val="00C405E4"/>
    <w:rsid w:val="00C44FBE"/>
    <w:rsid w:val="00C46767"/>
    <w:rsid w:val="00C541AC"/>
    <w:rsid w:val="00C54472"/>
    <w:rsid w:val="00C56E17"/>
    <w:rsid w:val="00C6275C"/>
    <w:rsid w:val="00C62A00"/>
    <w:rsid w:val="00C63A43"/>
    <w:rsid w:val="00C730EE"/>
    <w:rsid w:val="00C804EC"/>
    <w:rsid w:val="00C84A64"/>
    <w:rsid w:val="00C8699A"/>
    <w:rsid w:val="00C912A3"/>
    <w:rsid w:val="00C9430D"/>
    <w:rsid w:val="00C952CC"/>
    <w:rsid w:val="00C9628A"/>
    <w:rsid w:val="00C9680A"/>
    <w:rsid w:val="00C97A54"/>
    <w:rsid w:val="00CB04DF"/>
    <w:rsid w:val="00CB7BE3"/>
    <w:rsid w:val="00CC1206"/>
    <w:rsid w:val="00CC1D1C"/>
    <w:rsid w:val="00CC25A8"/>
    <w:rsid w:val="00CC344C"/>
    <w:rsid w:val="00CC46CB"/>
    <w:rsid w:val="00CC6832"/>
    <w:rsid w:val="00CD203E"/>
    <w:rsid w:val="00CD388F"/>
    <w:rsid w:val="00CD4416"/>
    <w:rsid w:val="00CE111D"/>
    <w:rsid w:val="00CE6EC8"/>
    <w:rsid w:val="00CF0D10"/>
    <w:rsid w:val="00CF253D"/>
    <w:rsid w:val="00CF2A6C"/>
    <w:rsid w:val="00D14E48"/>
    <w:rsid w:val="00D16DBF"/>
    <w:rsid w:val="00D20FFE"/>
    <w:rsid w:val="00D2130A"/>
    <w:rsid w:val="00D22C7E"/>
    <w:rsid w:val="00D249AC"/>
    <w:rsid w:val="00D557CA"/>
    <w:rsid w:val="00D57145"/>
    <w:rsid w:val="00D7058E"/>
    <w:rsid w:val="00D73DFF"/>
    <w:rsid w:val="00D871A2"/>
    <w:rsid w:val="00DA1948"/>
    <w:rsid w:val="00DA7A43"/>
    <w:rsid w:val="00DB1B81"/>
    <w:rsid w:val="00DB3691"/>
    <w:rsid w:val="00DC4CC6"/>
    <w:rsid w:val="00DC55C2"/>
    <w:rsid w:val="00DD277D"/>
    <w:rsid w:val="00DD3677"/>
    <w:rsid w:val="00DD7B02"/>
    <w:rsid w:val="00DE00B7"/>
    <w:rsid w:val="00DF0F81"/>
    <w:rsid w:val="00DF28D0"/>
    <w:rsid w:val="00DF38FC"/>
    <w:rsid w:val="00E05ADC"/>
    <w:rsid w:val="00E07283"/>
    <w:rsid w:val="00E108C6"/>
    <w:rsid w:val="00E10BAE"/>
    <w:rsid w:val="00E11AAD"/>
    <w:rsid w:val="00E13206"/>
    <w:rsid w:val="00E14029"/>
    <w:rsid w:val="00E23E43"/>
    <w:rsid w:val="00E31585"/>
    <w:rsid w:val="00E31E13"/>
    <w:rsid w:val="00E44DD5"/>
    <w:rsid w:val="00E57B20"/>
    <w:rsid w:val="00E63C93"/>
    <w:rsid w:val="00E64858"/>
    <w:rsid w:val="00E67CC1"/>
    <w:rsid w:val="00E70257"/>
    <w:rsid w:val="00E722C4"/>
    <w:rsid w:val="00E74CE9"/>
    <w:rsid w:val="00E842A6"/>
    <w:rsid w:val="00E968C4"/>
    <w:rsid w:val="00E977B8"/>
    <w:rsid w:val="00EA112B"/>
    <w:rsid w:val="00EA49DF"/>
    <w:rsid w:val="00EA7691"/>
    <w:rsid w:val="00EB6ED5"/>
    <w:rsid w:val="00EB7B54"/>
    <w:rsid w:val="00EC46F4"/>
    <w:rsid w:val="00EC5B35"/>
    <w:rsid w:val="00ED51C9"/>
    <w:rsid w:val="00EE3928"/>
    <w:rsid w:val="00EE3B9D"/>
    <w:rsid w:val="00EE5E84"/>
    <w:rsid w:val="00EE6911"/>
    <w:rsid w:val="00EF5D1D"/>
    <w:rsid w:val="00EF7F8A"/>
    <w:rsid w:val="00F01F50"/>
    <w:rsid w:val="00F173D8"/>
    <w:rsid w:val="00F32077"/>
    <w:rsid w:val="00F34878"/>
    <w:rsid w:val="00F40BAF"/>
    <w:rsid w:val="00F40CD8"/>
    <w:rsid w:val="00F4104D"/>
    <w:rsid w:val="00F4346B"/>
    <w:rsid w:val="00F5452D"/>
    <w:rsid w:val="00F55658"/>
    <w:rsid w:val="00F55C08"/>
    <w:rsid w:val="00F666DA"/>
    <w:rsid w:val="00F70BDF"/>
    <w:rsid w:val="00F77212"/>
    <w:rsid w:val="00F80A37"/>
    <w:rsid w:val="00F83457"/>
    <w:rsid w:val="00F84CA2"/>
    <w:rsid w:val="00F902DA"/>
    <w:rsid w:val="00F91B00"/>
    <w:rsid w:val="00F95044"/>
    <w:rsid w:val="00FB3D14"/>
    <w:rsid w:val="00FC1879"/>
    <w:rsid w:val="00FC4D44"/>
    <w:rsid w:val="00FD25AB"/>
    <w:rsid w:val="00FD2667"/>
    <w:rsid w:val="00FE2481"/>
    <w:rsid w:val="00FE36E5"/>
    <w:rsid w:val="00FF3237"/>
    <w:rsid w:val="00FF5ABE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Default">
    <w:name w:val="Default"/>
    <w:rsid w:val="00676F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B4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B46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53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C0F26-AC44-45B3-A5E2-D5ACDE75EEF0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a7951faf-23fd-4a20-be1e-078bbe8d3a9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E37AD-B7E3-4BF2-A13E-2410C4AE9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9272A-3576-40D6-AEBD-B22CE607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1784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ELBA ČECHY a.s.</Company>
  <LinksUpToDate>false</LinksUpToDate>
  <CharactersWithSpaces>13149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AKVT</dc:creator>
  <cp:lastModifiedBy>Šindelářová Petra, Mgr.</cp:lastModifiedBy>
  <cp:revision>12</cp:revision>
  <cp:lastPrinted>2017-05-25T10:03:00Z</cp:lastPrinted>
  <dcterms:created xsi:type="dcterms:W3CDTF">2025-06-12T12:55:00Z</dcterms:created>
  <dcterms:modified xsi:type="dcterms:W3CDTF">2025-06-12T12:59:00Z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