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ED9E" w14:textId="77777777" w:rsidR="006A5445" w:rsidRPr="003113EA" w:rsidRDefault="006A5445" w:rsidP="003113EA">
      <w:pPr>
        <w:pStyle w:val="Nadpis2"/>
        <w:rPr>
          <w:rFonts w:ascii="Times New Roman" w:hAnsi="Times New Roman"/>
        </w:rPr>
      </w:pPr>
      <w:r w:rsidRPr="003113EA">
        <w:rPr>
          <w:rFonts w:ascii="Times New Roman" w:hAnsi="Times New Roman"/>
        </w:rPr>
        <w:t xml:space="preserve">Smlouva o nájmu a poskytování služeb </w:t>
      </w:r>
    </w:p>
    <w:p w14:paraId="2146ED9F" w14:textId="0085E90A" w:rsidR="000F4546" w:rsidRPr="003113EA" w:rsidRDefault="006A5445" w:rsidP="006A5445">
      <w:pPr>
        <w:jc w:val="center"/>
        <w:rPr>
          <w:b/>
          <w:sz w:val="40"/>
        </w:rPr>
      </w:pPr>
      <w:r w:rsidRPr="003113EA">
        <w:rPr>
          <w:b/>
          <w:sz w:val="40"/>
        </w:rPr>
        <w:t xml:space="preserve">č. </w:t>
      </w:r>
      <w:r w:rsidR="004B2508">
        <w:rPr>
          <w:b/>
          <w:sz w:val="40"/>
        </w:rPr>
        <w:t>049</w:t>
      </w:r>
      <w:r w:rsidR="004B2508" w:rsidRPr="003113EA">
        <w:rPr>
          <w:b/>
          <w:sz w:val="40"/>
        </w:rPr>
        <w:t>/</w:t>
      </w:r>
      <w:r w:rsidR="00BD0A81" w:rsidRPr="003113EA">
        <w:rPr>
          <w:b/>
          <w:sz w:val="40"/>
        </w:rPr>
        <w:t>20</w:t>
      </w:r>
      <w:r w:rsidR="00E30490">
        <w:rPr>
          <w:b/>
          <w:sz w:val="40"/>
        </w:rPr>
        <w:t>2</w:t>
      </w:r>
      <w:r w:rsidR="00BD0A81" w:rsidRPr="003113EA">
        <w:rPr>
          <w:b/>
          <w:sz w:val="40"/>
        </w:rPr>
        <w:t>1/PMDP</w:t>
      </w:r>
    </w:p>
    <w:p w14:paraId="2146EDA0" w14:textId="77777777" w:rsidR="006A5445" w:rsidRPr="003113EA" w:rsidRDefault="006A5445" w:rsidP="006A5445">
      <w:pPr>
        <w:jc w:val="center"/>
        <w:rPr>
          <w:b/>
          <w:u w:val="single"/>
        </w:rPr>
      </w:pPr>
    </w:p>
    <w:p w14:paraId="2146EDA1" w14:textId="77777777" w:rsidR="006A5445" w:rsidRPr="003113EA" w:rsidRDefault="006A5445" w:rsidP="006A5445">
      <w:pPr>
        <w:jc w:val="center"/>
        <w:rPr>
          <w:b/>
          <w:u w:val="single"/>
        </w:rPr>
      </w:pPr>
    </w:p>
    <w:p w14:paraId="2146EDA2" w14:textId="77777777" w:rsidR="009E500C" w:rsidRPr="003113EA" w:rsidRDefault="006A5445" w:rsidP="006A5445">
      <w:pPr>
        <w:pStyle w:val="Zkladntext"/>
        <w:rPr>
          <w:rFonts w:ascii="Times New Roman" w:hAnsi="Times New Roman"/>
        </w:rPr>
      </w:pPr>
      <w:r w:rsidRPr="003113EA">
        <w:rPr>
          <w:rFonts w:ascii="Times New Roman" w:hAnsi="Times New Roman"/>
        </w:rPr>
        <w:t>uzavřená v</w:t>
      </w:r>
      <w:r w:rsidR="009E500C" w:rsidRPr="003113EA">
        <w:rPr>
          <w:rFonts w:ascii="Times New Roman" w:hAnsi="Times New Roman"/>
        </w:rPr>
        <w:t xml:space="preserve"> režimu občanského zákoníku </w:t>
      </w:r>
    </w:p>
    <w:p w14:paraId="2146EDA3" w14:textId="77777777" w:rsidR="009E500C" w:rsidRPr="003113EA" w:rsidRDefault="009E500C" w:rsidP="006A5445">
      <w:pPr>
        <w:pStyle w:val="Zkladntext"/>
        <w:rPr>
          <w:rFonts w:ascii="Times New Roman" w:hAnsi="Times New Roman"/>
        </w:rPr>
      </w:pPr>
    </w:p>
    <w:p w14:paraId="2146EDA4" w14:textId="77777777" w:rsidR="006A5445" w:rsidRPr="003113EA" w:rsidRDefault="006A5445" w:rsidP="006A5445">
      <w:pPr>
        <w:pStyle w:val="Zkladntext"/>
        <w:rPr>
          <w:rFonts w:ascii="Times New Roman" w:hAnsi="Times New Roman"/>
          <w:b/>
        </w:rPr>
      </w:pPr>
      <w:r w:rsidRPr="003113EA">
        <w:rPr>
          <w:rFonts w:ascii="Times New Roman" w:hAnsi="Times New Roman"/>
          <w:b/>
        </w:rPr>
        <w:t>(dále jen smlouva)</w:t>
      </w:r>
    </w:p>
    <w:p w14:paraId="2146EDA5" w14:textId="77777777" w:rsidR="006A5445" w:rsidRPr="003113EA" w:rsidRDefault="006A5445" w:rsidP="006A5445">
      <w:pPr>
        <w:jc w:val="both"/>
        <w:rPr>
          <w:b/>
          <w:u w:val="single"/>
        </w:rPr>
      </w:pPr>
    </w:p>
    <w:p w14:paraId="2146EDA6" w14:textId="77777777" w:rsidR="006A5445" w:rsidRPr="003113EA" w:rsidRDefault="006A5445" w:rsidP="006A5445">
      <w:pPr>
        <w:jc w:val="both"/>
        <w:rPr>
          <w:b/>
          <w:u w:val="single"/>
        </w:rPr>
      </w:pPr>
    </w:p>
    <w:p w14:paraId="2146EDA7" w14:textId="77777777" w:rsidR="006A5445" w:rsidRPr="003113EA" w:rsidRDefault="009A1E46" w:rsidP="003113EA">
      <w:pPr>
        <w:ind w:left="567"/>
        <w:jc w:val="both"/>
        <w:rPr>
          <w:b/>
        </w:rPr>
      </w:pPr>
      <w:r>
        <w:rPr>
          <w:b/>
        </w:rPr>
        <w:t xml:space="preserve"> </w:t>
      </w:r>
      <w:r w:rsidR="0062567F">
        <w:rPr>
          <w:b/>
        </w:rPr>
        <w:t>Dodava</w:t>
      </w:r>
      <w:r w:rsidR="006A5445" w:rsidRPr="003113EA">
        <w:rPr>
          <w:b/>
        </w:rPr>
        <w:t>tel:</w:t>
      </w:r>
      <w:r w:rsidR="006A5445" w:rsidRPr="003113EA">
        <w:rPr>
          <w:b/>
        </w:rPr>
        <w:tab/>
      </w:r>
      <w:r w:rsidR="006A5445" w:rsidRPr="003113EA">
        <w:rPr>
          <w:b/>
        </w:rPr>
        <w:tab/>
      </w:r>
      <w:r w:rsidR="006A5445" w:rsidRPr="003113EA">
        <w:rPr>
          <w:b/>
        </w:rPr>
        <w:tab/>
      </w:r>
    </w:p>
    <w:p w14:paraId="2146EDA8" w14:textId="77777777" w:rsidR="009E500C" w:rsidRPr="008B0BB2" w:rsidRDefault="009E500C" w:rsidP="003113EA">
      <w:pPr>
        <w:ind w:left="567"/>
        <w:jc w:val="both"/>
      </w:pPr>
    </w:p>
    <w:p w14:paraId="2146EDA9" w14:textId="44EDC312" w:rsidR="00394038" w:rsidRPr="008B0BB2" w:rsidRDefault="006A5445" w:rsidP="00394038">
      <w:pPr>
        <w:ind w:left="567"/>
        <w:jc w:val="both"/>
      </w:pPr>
      <w:r w:rsidRPr="008B0BB2">
        <w:t>název:</w:t>
      </w:r>
      <w:r w:rsidRPr="008B0BB2">
        <w:tab/>
      </w:r>
      <w:r w:rsidRPr="008B0BB2">
        <w:tab/>
      </w:r>
      <w:r w:rsidRPr="008B0BB2">
        <w:tab/>
      </w:r>
      <w:r w:rsidR="00FF0768" w:rsidRPr="009D6B30">
        <w:rPr>
          <w:rFonts w:cs="Arial"/>
          <w:color w:val="FF0000"/>
        </w:rPr>
        <w:t>{Doplní Dodavatel}</w:t>
      </w:r>
      <w:r w:rsidR="00394038" w:rsidRPr="008B0BB2">
        <w:tab/>
      </w:r>
    </w:p>
    <w:p w14:paraId="2146EDAA" w14:textId="1BC6063F" w:rsidR="006A5445" w:rsidRPr="008B0BB2" w:rsidRDefault="006A5445" w:rsidP="00394038">
      <w:pPr>
        <w:ind w:left="567"/>
        <w:jc w:val="both"/>
        <w:rPr>
          <w:rFonts w:eastAsia="MS Mincho"/>
          <w:i/>
        </w:rPr>
      </w:pPr>
      <w:r w:rsidRPr="008B0BB2">
        <w:rPr>
          <w:rFonts w:eastAsia="MS Mincho"/>
        </w:rPr>
        <w:t>sídlo:</w:t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="00FF0768" w:rsidRPr="009D6B30">
        <w:rPr>
          <w:rFonts w:cs="Arial"/>
          <w:color w:val="FF0000"/>
        </w:rPr>
        <w:t>{Doplní Dodavatel}</w:t>
      </w:r>
      <w:r w:rsidRPr="008B0BB2">
        <w:rPr>
          <w:rFonts w:eastAsia="MS Mincho"/>
          <w:i/>
        </w:rPr>
        <w:tab/>
      </w:r>
    </w:p>
    <w:p w14:paraId="2146EDAB" w14:textId="59EE6163" w:rsidR="006A5445" w:rsidRPr="008B0BB2" w:rsidRDefault="009E500C" w:rsidP="008B0BB2">
      <w:pPr>
        <w:autoSpaceDE w:val="0"/>
        <w:autoSpaceDN w:val="0"/>
        <w:adjustRightInd w:val="0"/>
        <w:ind w:firstLine="567"/>
      </w:pPr>
      <w:r w:rsidRPr="008B0BB2">
        <w:rPr>
          <w:rFonts w:eastAsia="MS Mincho"/>
          <w:i/>
        </w:rPr>
        <w:t>zápis OR</w:t>
      </w:r>
      <w:r w:rsidR="006A5445" w:rsidRPr="008B0BB2">
        <w:rPr>
          <w:rFonts w:eastAsia="MS Mincho"/>
          <w:i/>
        </w:rPr>
        <w:t>:</w:t>
      </w:r>
      <w:r w:rsidR="006A5445" w:rsidRPr="008B0BB2">
        <w:rPr>
          <w:rFonts w:eastAsia="MS Mincho"/>
          <w:i/>
        </w:rPr>
        <w:tab/>
      </w:r>
      <w:r w:rsidR="006A5445" w:rsidRPr="008B0BB2">
        <w:rPr>
          <w:rFonts w:eastAsia="MS Mincho"/>
          <w:i/>
        </w:rPr>
        <w:tab/>
      </w:r>
      <w:r w:rsidR="00FF0768" w:rsidRPr="009D6B30">
        <w:rPr>
          <w:rFonts w:cs="Arial"/>
          <w:color w:val="FF0000"/>
        </w:rPr>
        <w:t>{Doplní Dodavatel}</w:t>
      </w:r>
      <w:r w:rsidR="006A5445" w:rsidRPr="008B0BB2">
        <w:rPr>
          <w:rFonts w:eastAsia="MS Mincho"/>
          <w:i/>
        </w:rPr>
        <w:tab/>
      </w:r>
    </w:p>
    <w:p w14:paraId="2146EDAC" w14:textId="7822A545" w:rsidR="006A5445" w:rsidRPr="008B0BB2" w:rsidRDefault="006A5445" w:rsidP="003113EA">
      <w:pPr>
        <w:ind w:left="567"/>
        <w:jc w:val="both"/>
        <w:rPr>
          <w:rFonts w:eastAsia="MS Mincho"/>
        </w:rPr>
      </w:pPr>
      <w:r w:rsidRPr="008B0BB2">
        <w:rPr>
          <w:rFonts w:eastAsia="MS Mincho"/>
        </w:rPr>
        <w:t>IČ:</w:t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="00FF0768" w:rsidRPr="009D6B30">
        <w:rPr>
          <w:rFonts w:cs="Arial"/>
          <w:color w:val="FF0000"/>
        </w:rPr>
        <w:t>{Doplní Dodavatel}</w:t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</w:p>
    <w:p w14:paraId="2146EDAD" w14:textId="58642072" w:rsidR="009E500C" w:rsidRPr="008B0BB2" w:rsidRDefault="006A5445" w:rsidP="003113EA">
      <w:pPr>
        <w:ind w:left="567"/>
        <w:jc w:val="both"/>
        <w:rPr>
          <w:rFonts w:eastAsia="MS Mincho"/>
        </w:rPr>
      </w:pPr>
      <w:r w:rsidRPr="008B0BB2">
        <w:rPr>
          <w:rFonts w:eastAsia="MS Mincho"/>
        </w:rPr>
        <w:t xml:space="preserve">DIČ: </w:t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="00FF0768" w:rsidRPr="009D6B30">
        <w:rPr>
          <w:rFonts w:cs="Arial"/>
          <w:color w:val="FF0000"/>
        </w:rPr>
        <w:t>{Doplní Dodavatel}</w:t>
      </w:r>
      <w:r w:rsidRPr="008B0BB2">
        <w:rPr>
          <w:rFonts w:eastAsia="MS Mincho"/>
        </w:rPr>
        <w:tab/>
      </w:r>
    </w:p>
    <w:p w14:paraId="2146EDAE" w14:textId="225F9966" w:rsidR="006A5445" w:rsidRPr="008B0BB2" w:rsidRDefault="006A5445" w:rsidP="003113EA">
      <w:pPr>
        <w:ind w:left="567"/>
        <w:jc w:val="both"/>
        <w:rPr>
          <w:bCs/>
        </w:rPr>
      </w:pPr>
      <w:r w:rsidRPr="008B0BB2">
        <w:rPr>
          <w:rFonts w:eastAsia="MS Mincho"/>
        </w:rPr>
        <w:t>bankovní spojení:</w:t>
      </w:r>
      <w:r w:rsidRPr="008B0BB2">
        <w:rPr>
          <w:rFonts w:eastAsia="MS Mincho"/>
        </w:rPr>
        <w:tab/>
      </w:r>
      <w:r w:rsidR="00FF0768" w:rsidRPr="009D6B30">
        <w:rPr>
          <w:rFonts w:cs="Arial"/>
          <w:color w:val="FF0000"/>
        </w:rPr>
        <w:t>{Doplní Dodavatel}</w:t>
      </w:r>
      <w:r w:rsidRPr="008B0BB2">
        <w:rPr>
          <w:rFonts w:eastAsia="MS Mincho"/>
        </w:rPr>
        <w:tab/>
      </w:r>
      <w:r w:rsidRPr="008B0BB2">
        <w:rPr>
          <w:bCs/>
        </w:rPr>
        <w:t xml:space="preserve"> </w:t>
      </w:r>
    </w:p>
    <w:p w14:paraId="2146EDAF" w14:textId="76996C04" w:rsidR="006A5445" w:rsidRPr="008B0BB2" w:rsidRDefault="006A5445" w:rsidP="003113EA">
      <w:pPr>
        <w:ind w:left="567"/>
        <w:jc w:val="both"/>
        <w:rPr>
          <w:rFonts w:eastAsia="MS Mincho"/>
        </w:rPr>
      </w:pPr>
      <w:r w:rsidRPr="008B0BB2">
        <w:rPr>
          <w:rFonts w:eastAsia="MS Mincho"/>
        </w:rPr>
        <w:t>číslo účtu:</w:t>
      </w:r>
      <w:r w:rsidRPr="008B0BB2">
        <w:rPr>
          <w:rFonts w:eastAsia="MS Mincho"/>
        </w:rPr>
        <w:tab/>
      </w:r>
      <w:r w:rsidRPr="008B0BB2">
        <w:rPr>
          <w:rFonts w:eastAsia="MS Mincho"/>
        </w:rPr>
        <w:tab/>
      </w:r>
      <w:r w:rsidR="00FF0768" w:rsidRPr="009D6B30">
        <w:rPr>
          <w:rFonts w:cs="Arial"/>
          <w:color w:val="FF0000"/>
        </w:rPr>
        <w:t>{Doplní Dodavatel}</w:t>
      </w:r>
      <w:r w:rsidRPr="008B0BB2">
        <w:rPr>
          <w:rFonts w:eastAsia="MS Mincho"/>
        </w:rPr>
        <w:tab/>
      </w:r>
    </w:p>
    <w:p w14:paraId="2146EDB0" w14:textId="2D555CB6" w:rsidR="006A5445" w:rsidRPr="008B0BB2" w:rsidRDefault="006A5445" w:rsidP="003113EA">
      <w:pPr>
        <w:ind w:left="567"/>
        <w:jc w:val="both"/>
        <w:rPr>
          <w:rFonts w:eastAsia="MS Mincho"/>
        </w:rPr>
      </w:pPr>
      <w:r w:rsidRPr="008B0BB2">
        <w:rPr>
          <w:rFonts w:eastAsia="MS Mincho"/>
        </w:rPr>
        <w:t>statutární orgán:</w:t>
      </w:r>
      <w:r w:rsidRPr="008B0BB2">
        <w:rPr>
          <w:rFonts w:eastAsia="MS Mincho"/>
        </w:rPr>
        <w:tab/>
      </w:r>
      <w:r w:rsidR="00FF0768" w:rsidRPr="009D6B30">
        <w:rPr>
          <w:rFonts w:cs="Arial"/>
          <w:color w:val="FF0000"/>
        </w:rPr>
        <w:t>{Doplní Dodavatel}</w:t>
      </w:r>
    </w:p>
    <w:p w14:paraId="2146EDB1" w14:textId="77777777" w:rsidR="006A5445" w:rsidRPr="003113EA" w:rsidRDefault="006A5445" w:rsidP="003113EA">
      <w:pPr>
        <w:ind w:left="567"/>
        <w:jc w:val="both"/>
        <w:rPr>
          <w:rFonts w:eastAsia="MS Mincho"/>
        </w:rPr>
      </w:pPr>
      <w:r w:rsidRPr="003113EA">
        <w:rPr>
          <w:rFonts w:eastAsia="MS Mincho"/>
        </w:rPr>
        <w:tab/>
      </w:r>
    </w:p>
    <w:p w14:paraId="2146EDB4" w14:textId="77777777" w:rsidR="006A5445" w:rsidRPr="003113EA" w:rsidRDefault="006A5445" w:rsidP="003113EA">
      <w:pPr>
        <w:ind w:left="567"/>
        <w:jc w:val="both"/>
        <w:rPr>
          <w:b/>
          <w:i/>
        </w:rPr>
      </w:pPr>
      <w:r w:rsidRPr="003113EA">
        <w:rPr>
          <w:i/>
        </w:rPr>
        <w:t xml:space="preserve">(dále jen </w:t>
      </w:r>
      <w:r w:rsidR="00315F6C">
        <w:rPr>
          <w:i/>
        </w:rPr>
        <w:t>D</w:t>
      </w:r>
      <w:r w:rsidRPr="003113EA">
        <w:rPr>
          <w:i/>
        </w:rPr>
        <w:t>odavatel)</w:t>
      </w:r>
    </w:p>
    <w:p w14:paraId="2146EDB5" w14:textId="77777777" w:rsidR="006A5445" w:rsidRPr="003113EA" w:rsidRDefault="006A5445" w:rsidP="003113EA">
      <w:pPr>
        <w:ind w:left="567"/>
        <w:jc w:val="both"/>
        <w:rPr>
          <w:b/>
          <w:u w:val="single"/>
        </w:rPr>
      </w:pPr>
    </w:p>
    <w:p w14:paraId="2146EDB6" w14:textId="77777777" w:rsidR="009E500C" w:rsidRPr="003113EA" w:rsidRDefault="009E500C" w:rsidP="003113EA">
      <w:pPr>
        <w:ind w:left="567"/>
        <w:jc w:val="both"/>
        <w:rPr>
          <w:b/>
        </w:rPr>
      </w:pPr>
    </w:p>
    <w:p w14:paraId="2146EDB7" w14:textId="77777777" w:rsidR="009E500C" w:rsidRPr="003113EA" w:rsidRDefault="009E500C" w:rsidP="003113EA">
      <w:pPr>
        <w:ind w:left="567"/>
        <w:jc w:val="both"/>
      </w:pPr>
      <w:r w:rsidRPr="003113EA">
        <w:t>a</w:t>
      </w:r>
    </w:p>
    <w:p w14:paraId="2146EDB8" w14:textId="77777777" w:rsidR="009E500C" w:rsidRPr="003113EA" w:rsidRDefault="009E500C" w:rsidP="003113EA">
      <w:pPr>
        <w:ind w:left="567"/>
        <w:jc w:val="both"/>
        <w:rPr>
          <w:b/>
          <w:u w:val="single"/>
        </w:rPr>
      </w:pPr>
    </w:p>
    <w:p w14:paraId="2146EDB9" w14:textId="77777777" w:rsidR="009E500C" w:rsidRPr="003113EA" w:rsidRDefault="009E500C" w:rsidP="003113EA">
      <w:pPr>
        <w:ind w:left="567"/>
        <w:jc w:val="both"/>
        <w:rPr>
          <w:b/>
          <w:u w:val="single"/>
        </w:rPr>
      </w:pPr>
    </w:p>
    <w:p w14:paraId="2146EDBA" w14:textId="77777777" w:rsidR="006A5445" w:rsidRPr="003113EA" w:rsidRDefault="006A5445" w:rsidP="003113EA">
      <w:pPr>
        <w:ind w:left="567"/>
        <w:jc w:val="both"/>
        <w:rPr>
          <w:b/>
        </w:rPr>
      </w:pPr>
      <w:r w:rsidRPr="003113EA">
        <w:rPr>
          <w:b/>
        </w:rPr>
        <w:t>Odběratel:</w:t>
      </w:r>
    </w:p>
    <w:p w14:paraId="2146EDBB" w14:textId="77777777" w:rsidR="009E500C" w:rsidRPr="003113EA" w:rsidRDefault="009E500C" w:rsidP="003113EA">
      <w:pPr>
        <w:ind w:left="567"/>
        <w:jc w:val="both"/>
      </w:pPr>
    </w:p>
    <w:p w14:paraId="2146EDBC" w14:textId="77777777" w:rsidR="00BD0A81" w:rsidRPr="003113EA" w:rsidRDefault="00BD0A81" w:rsidP="003113EA">
      <w:pPr>
        <w:ind w:left="2835" w:hanging="2268"/>
        <w:jc w:val="both"/>
        <w:rPr>
          <w:b/>
        </w:rPr>
      </w:pPr>
      <w:r w:rsidRPr="003113EA">
        <w:t>název:</w:t>
      </w:r>
      <w:r w:rsidRPr="003113EA">
        <w:tab/>
      </w:r>
      <w:r w:rsidRPr="003113EA">
        <w:rPr>
          <w:b/>
        </w:rPr>
        <w:t xml:space="preserve">Plzeňské městské dopravní podniky, a.s. </w:t>
      </w:r>
    </w:p>
    <w:p w14:paraId="2146EDBD" w14:textId="4A0A9AEF" w:rsidR="00BD0A81" w:rsidRPr="003113EA" w:rsidRDefault="00BD0A81" w:rsidP="003113EA">
      <w:pPr>
        <w:pStyle w:val="Prosttext"/>
        <w:ind w:left="2835" w:hanging="2268"/>
        <w:jc w:val="both"/>
        <w:rPr>
          <w:rFonts w:ascii="Times New Roman" w:eastAsia="MS Mincho" w:hAnsi="Times New Roman"/>
          <w:sz w:val="24"/>
          <w:szCs w:val="24"/>
        </w:rPr>
      </w:pPr>
      <w:r w:rsidRPr="003113EA">
        <w:rPr>
          <w:rFonts w:ascii="Times New Roman" w:eastAsia="MS Mincho" w:hAnsi="Times New Roman"/>
          <w:sz w:val="24"/>
          <w:szCs w:val="24"/>
        </w:rPr>
        <w:t xml:space="preserve">sídlo: </w:t>
      </w:r>
      <w:r w:rsidRPr="003113EA">
        <w:rPr>
          <w:rFonts w:ascii="Times New Roman" w:eastAsia="MS Mincho" w:hAnsi="Times New Roman"/>
          <w:sz w:val="24"/>
          <w:szCs w:val="24"/>
        </w:rPr>
        <w:tab/>
        <w:t xml:space="preserve">Denisovo nábřeží 920/12, </w:t>
      </w:r>
      <w:r w:rsidR="00FF0768">
        <w:rPr>
          <w:rFonts w:ascii="Times New Roman" w:eastAsia="MS Mincho" w:hAnsi="Times New Roman"/>
          <w:sz w:val="24"/>
          <w:szCs w:val="24"/>
        </w:rPr>
        <w:t xml:space="preserve">Východní Předměstí, </w:t>
      </w:r>
      <w:r w:rsidR="009E500C" w:rsidRPr="003113EA">
        <w:rPr>
          <w:rFonts w:ascii="Times New Roman" w:eastAsia="MS Mincho" w:hAnsi="Times New Roman"/>
          <w:sz w:val="24"/>
          <w:szCs w:val="24"/>
        </w:rPr>
        <w:t>301 00</w:t>
      </w:r>
      <w:r w:rsidRPr="003113EA">
        <w:rPr>
          <w:rFonts w:ascii="Times New Roman" w:eastAsia="MS Mincho" w:hAnsi="Times New Roman"/>
          <w:sz w:val="24"/>
          <w:szCs w:val="24"/>
        </w:rPr>
        <w:t xml:space="preserve"> Plzeň</w:t>
      </w:r>
    </w:p>
    <w:p w14:paraId="2146EDBE" w14:textId="14F445E2" w:rsidR="00BD0A81" w:rsidRPr="00DF3694" w:rsidRDefault="009E500C" w:rsidP="00DF3694">
      <w:pPr>
        <w:pStyle w:val="Prosttext"/>
        <w:ind w:left="2835" w:hanging="2268"/>
        <w:jc w:val="both"/>
        <w:rPr>
          <w:rFonts w:ascii="Times New Roman" w:eastAsia="MS Mincho" w:hAnsi="Times New Roman"/>
          <w:sz w:val="24"/>
          <w:szCs w:val="24"/>
        </w:rPr>
      </w:pPr>
      <w:r w:rsidRPr="003113EA">
        <w:rPr>
          <w:rFonts w:ascii="Times New Roman" w:eastAsia="MS Mincho" w:hAnsi="Times New Roman"/>
          <w:sz w:val="24"/>
          <w:szCs w:val="24"/>
        </w:rPr>
        <w:t>zápis OR:</w:t>
      </w:r>
      <w:r w:rsidRPr="003113EA">
        <w:rPr>
          <w:rFonts w:ascii="Times New Roman" w:eastAsia="MS Mincho" w:hAnsi="Times New Roman"/>
          <w:sz w:val="24"/>
          <w:szCs w:val="24"/>
        </w:rPr>
        <w:tab/>
      </w:r>
      <w:r w:rsidR="000506F8">
        <w:rPr>
          <w:rFonts w:ascii="Times New Roman" w:hAnsi="Times New Roman"/>
          <w:sz w:val="24"/>
          <w:szCs w:val="24"/>
        </w:rPr>
        <w:t>Krajský soud</w:t>
      </w:r>
      <w:r w:rsidR="00BD0A81" w:rsidRPr="003113EA">
        <w:rPr>
          <w:rFonts w:ascii="Times New Roman" w:eastAsia="MS Mincho" w:hAnsi="Times New Roman"/>
          <w:sz w:val="24"/>
          <w:szCs w:val="24"/>
        </w:rPr>
        <w:t xml:space="preserve"> v Plzni, </w:t>
      </w:r>
      <w:r w:rsidR="00BD0A81" w:rsidRPr="00DF3694">
        <w:rPr>
          <w:rFonts w:ascii="Times New Roman" w:eastAsia="MS Mincho" w:hAnsi="Times New Roman"/>
          <w:sz w:val="24"/>
          <w:szCs w:val="24"/>
        </w:rPr>
        <w:t>oddíl B, vložka 710</w:t>
      </w:r>
    </w:p>
    <w:p w14:paraId="2146EDBF" w14:textId="77777777" w:rsidR="00BD0A81" w:rsidRPr="003113EA" w:rsidRDefault="00BD0A81" w:rsidP="003113EA">
      <w:pPr>
        <w:ind w:left="2835" w:hanging="2268"/>
        <w:jc w:val="both"/>
        <w:rPr>
          <w:rFonts w:eastAsia="MS Mincho"/>
        </w:rPr>
      </w:pPr>
      <w:r w:rsidRPr="003113EA">
        <w:rPr>
          <w:rFonts w:eastAsia="MS Mincho"/>
        </w:rPr>
        <w:t xml:space="preserve">IČ: </w:t>
      </w:r>
      <w:r w:rsidRPr="003113EA">
        <w:rPr>
          <w:rFonts w:eastAsia="MS Mincho"/>
        </w:rPr>
        <w:tab/>
        <w:t>25220683</w:t>
      </w:r>
    </w:p>
    <w:p w14:paraId="2146EDC0" w14:textId="77777777" w:rsidR="00BD0A81" w:rsidRPr="003113EA" w:rsidRDefault="00BD0A81" w:rsidP="003113EA">
      <w:pPr>
        <w:ind w:left="2835" w:hanging="2268"/>
        <w:jc w:val="both"/>
        <w:rPr>
          <w:rFonts w:eastAsia="MS Mincho"/>
        </w:rPr>
      </w:pPr>
      <w:r w:rsidRPr="003113EA">
        <w:rPr>
          <w:rFonts w:eastAsia="MS Mincho"/>
        </w:rPr>
        <w:t xml:space="preserve">DIČ: </w:t>
      </w:r>
      <w:r w:rsidRPr="003113EA">
        <w:rPr>
          <w:rFonts w:eastAsia="MS Mincho"/>
        </w:rPr>
        <w:tab/>
        <w:t>CZ25220683</w:t>
      </w:r>
    </w:p>
    <w:p w14:paraId="2146EDC1" w14:textId="77777777" w:rsidR="00BD0A81" w:rsidRPr="003113EA" w:rsidRDefault="00BD0A81" w:rsidP="003113EA">
      <w:pPr>
        <w:ind w:left="2835" w:hanging="2268"/>
        <w:jc w:val="both"/>
        <w:rPr>
          <w:rFonts w:eastAsia="MS Mincho"/>
        </w:rPr>
      </w:pPr>
      <w:r w:rsidRPr="003113EA">
        <w:rPr>
          <w:rFonts w:eastAsia="MS Mincho"/>
        </w:rPr>
        <w:t>bankovní spojení:</w:t>
      </w:r>
      <w:r w:rsidRPr="003113EA">
        <w:rPr>
          <w:rFonts w:eastAsia="MS Mincho"/>
        </w:rPr>
        <w:tab/>
        <w:t>Československá obchodní banka, a.s.</w:t>
      </w:r>
    </w:p>
    <w:p w14:paraId="2146EDC2" w14:textId="77777777" w:rsidR="00BD0A81" w:rsidRPr="003113EA" w:rsidRDefault="00BD0A81" w:rsidP="003113EA">
      <w:pPr>
        <w:ind w:left="2835" w:hanging="2268"/>
        <w:jc w:val="both"/>
        <w:rPr>
          <w:rFonts w:eastAsia="MS Mincho"/>
        </w:rPr>
      </w:pPr>
      <w:r w:rsidRPr="003113EA">
        <w:rPr>
          <w:rFonts w:eastAsia="MS Mincho"/>
        </w:rPr>
        <w:t>číslo účtu:</w:t>
      </w:r>
      <w:r w:rsidRPr="003113EA">
        <w:rPr>
          <w:rFonts w:eastAsia="MS Mincho"/>
        </w:rPr>
        <w:tab/>
        <w:t>117433803/0300</w:t>
      </w:r>
    </w:p>
    <w:p w14:paraId="2146EDC3" w14:textId="629A5686" w:rsidR="009E500C" w:rsidRPr="003113EA" w:rsidRDefault="00FF0768" w:rsidP="003113EA">
      <w:pPr>
        <w:ind w:left="2835" w:hanging="2268"/>
        <w:jc w:val="both"/>
        <w:rPr>
          <w:rFonts w:eastAsia="MS Mincho"/>
        </w:rPr>
      </w:pPr>
      <w:r>
        <w:rPr>
          <w:rFonts w:eastAsia="MS Mincho"/>
        </w:rPr>
        <w:t>zastoupen</w:t>
      </w:r>
      <w:r w:rsidR="009E500C" w:rsidRPr="003113EA">
        <w:rPr>
          <w:rFonts w:eastAsia="MS Mincho"/>
        </w:rPr>
        <w:t>:</w:t>
      </w:r>
      <w:r w:rsidR="009E500C" w:rsidRPr="003113EA">
        <w:rPr>
          <w:rFonts w:eastAsia="MS Mincho"/>
        </w:rPr>
        <w:tab/>
      </w:r>
      <w:r w:rsidR="00E05F2F">
        <w:rPr>
          <w:rFonts w:eastAsia="MS Mincho"/>
          <w:color w:val="000000"/>
        </w:rPr>
        <w:t>Mgr. Roman Zarzycký</w:t>
      </w:r>
      <w:r>
        <w:rPr>
          <w:rFonts w:eastAsia="MS Mincho"/>
          <w:color w:val="000000"/>
        </w:rPr>
        <w:t xml:space="preserve">, </w:t>
      </w:r>
      <w:r w:rsidR="00E05F2F">
        <w:rPr>
          <w:rFonts w:eastAsia="MS Mincho"/>
          <w:color w:val="000000"/>
        </w:rPr>
        <w:t>předseda představenstva</w:t>
      </w:r>
    </w:p>
    <w:p w14:paraId="2146EDC4" w14:textId="77777777" w:rsidR="00BD0A81" w:rsidRPr="003113EA" w:rsidRDefault="00BD0A81" w:rsidP="003113EA">
      <w:pPr>
        <w:pStyle w:val="BlockText2"/>
        <w:overflowPunct/>
        <w:autoSpaceDE/>
        <w:autoSpaceDN/>
        <w:adjustRightInd/>
        <w:ind w:left="567"/>
        <w:textAlignment w:val="auto"/>
        <w:rPr>
          <w:rFonts w:ascii="Times New Roman" w:eastAsia="MS Mincho" w:hAnsi="Times New Roman"/>
          <w:color w:val="000000"/>
          <w:sz w:val="24"/>
          <w:szCs w:val="24"/>
        </w:rPr>
      </w:pPr>
    </w:p>
    <w:p w14:paraId="2146EDC5" w14:textId="77777777" w:rsidR="006A5445" w:rsidRPr="003113EA" w:rsidRDefault="006A5445" w:rsidP="003113EA">
      <w:pPr>
        <w:ind w:left="567"/>
        <w:jc w:val="both"/>
        <w:rPr>
          <w:b/>
          <w:i/>
        </w:rPr>
      </w:pPr>
      <w:r w:rsidRPr="003113EA">
        <w:rPr>
          <w:i/>
        </w:rPr>
        <w:t xml:space="preserve">(dále jen </w:t>
      </w:r>
      <w:r w:rsidR="00315F6C">
        <w:rPr>
          <w:i/>
        </w:rPr>
        <w:t>O</w:t>
      </w:r>
      <w:r w:rsidRPr="003113EA">
        <w:rPr>
          <w:i/>
        </w:rPr>
        <w:t>dběratel)</w:t>
      </w:r>
    </w:p>
    <w:p w14:paraId="2146EDC6" w14:textId="77777777" w:rsidR="006A5445" w:rsidRPr="003113EA" w:rsidRDefault="006A5445" w:rsidP="003113EA">
      <w:pPr>
        <w:ind w:left="567"/>
        <w:jc w:val="both"/>
        <w:rPr>
          <w:b/>
        </w:rPr>
      </w:pPr>
    </w:p>
    <w:p w14:paraId="2146EDC7" w14:textId="77777777" w:rsidR="006A5445" w:rsidRDefault="006A5445" w:rsidP="006A5445">
      <w:pPr>
        <w:jc w:val="both"/>
        <w:rPr>
          <w:b/>
        </w:rPr>
      </w:pPr>
    </w:p>
    <w:p w14:paraId="2146EDC8" w14:textId="77777777" w:rsidR="005F311C" w:rsidRDefault="005F311C" w:rsidP="006A5445">
      <w:pPr>
        <w:jc w:val="both"/>
        <w:rPr>
          <w:b/>
        </w:rPr>
      </w:pPr>
    </w:p>
    <w:p w14:paraId="2146EDC9" w14:textId="77777777" w:rsidR="005F311C" w:rsidRDefault="005F311C" w:rsidP="006A5445">
      <w:pPr>
        <w:jc w:val="both"/>
        <w:rPr>
          <w:b/>
        </w:rPr>
      </w:pPr>
    </w:p>
    <w:p w14:paraId="2146EDCA" w14:textId="77777777" w:rsidR="005F311C" w:rsidRDefault="005F311C" w:rsidP="006A5445">
      <w:pPr>
        <w:jc w:val="both"/>
        <w:rPr>
          <w:b/>
        </w:rPr>
      </w:pPr>
    </w:p>
    <w:p w14:paraId="2146EDCB" w14:textId="77777777" w:rsidR="005F311C" w:rsidRDefault="005F311C" w:rsidP="006A5445">
      <w:pPr>
        <w:jc w:val="both"/>
        <w:rPr>
          <w:b/>
        </w:rPr>
      </w:pPr>
    </w:p>
    <w:p w14:paraId="2146EDCC" w14:textId="77777777" w:rsidR="005F311C" w:rsidRDefault="005F311C" w:rsidP="006A5445">
      <w:pPr>
        <w:jc w:val="both"/>
        <w:rPr>
          <w:b/>
        </w:rPr>
      </w:pPr>
    </w:p>
    <w:p w14:paraId="2146EDCD" w14:textId="77777777" w:rsidR="005F311C" w:rsidRDefault="005F311C" w:rsidP="006A5445">
      <w:pPr>
        <w:jc w:val="both"/>
        <w:rPr>
          <w:b/>
        </w:rPr>
      </w:pPr>
    </w:p>
    <w:p w14:paraId="2146EDCE" w14:textId="68E82952" w:rsidR="005F311C" w:rsidRDefault="005F311C" w:rsidP="006A5445">
      <w:pPr>
        <w:jc w:val="both"/>
        <w:rPr>
          <w:b/>
        </w:rPr>
      </w:pPr>
    </w:p>
    <w:p w14:paraId="2D860EC6" w14:textId="7CCD85FA" w:rsidR="00FF0768" w:rsidRDefault="00FF0768" w:rsidP="006A5445">
      <w:pPr>
        <w:jc w:val="both"/>
        <w:rPr>
          <w:b/>
        </w:rPr>
      </w:pPr>
    </w:p>
    <w:p w14:paraId="7399B0F1" w14:textId="77777777" w:rsidR="00FF0768" w:rsidRDefault="00FF0768" w:rsidP="006A5445">
      <w:pPr>
        <w:jc w:val="both"/>
        <w:rPr>
          <w:b/>
        </w:rPr>
      </w:pPr>
    </w:p>
    <w:p w14:paraId="2146EDCF" w14:textId="77777777" w:rsidR="006A5445" w:rsidRPr="009B55EE" w:rsidRDefault="006A5445" w:rsidP="009B55EE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DD0" w14:textId="77777777" w:rsidR="006A5445" w:rsidRPr="003113EA" w:rsidRDefault="006A5445" w:rsidP="006A5445">
      <w:pPr>
        <w:pStyle w:val="Nadpis1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sz w:val="24"/>
        </w:rPr>
        <w:t>Preambule</w:t>
      </w:r>
    </w:p>
    <w:p w14:paraId="2146EDD1" w14:textId="6F2E80BD" w:rsidR="006A5346" w:rsidRPr="003113EA" w:rsidRDefault="006A5346" w:rsidP="006A5346">
      <w:pPr>
        <w:ind w:left="567"/>
        <w:jc w:val="both"/>
      </w:pPr>
      <w:r w:rsidRPr="003113EA">
        <w:t xml:space="preserve">Tato smlouva je uzavřena na základě výsledku zadávacího řízení na </w:t>
      </w:r>
      <w:r w:rsidR="00FF0768">
        <w:t>I</w:t>
      </w:r>
      <w:r w:rsidRPr="003113EA">
        <w:t>nterní zakázku</w:t>
      </w:r>
      <w:r w:rsidR="00FF0768">
        <w:t xml:space="preserve"> (sektorovou veřejnou zakázku)</w:t>
      </w:r>
      <w:r w:rsidR="00394038">
        <w:t>.</w:t>
      </w:r>
      <w:r w:rsidRPr="003113EA">
        <w:t xml:space="preserve"> </w:t>
      </w:r>
    </w:p>
    <w:p w14:paraId="2146EDD2" w14:textId="77777777" w:rsidR="006A5346" w:rsidRDefault="006A5346" w:rsidP="006A5445">
      <w:pPr>
        <w:jc w:val="center"/>
      </w:pPr>
    </w:p>
    <w:p w14:paraId="2146EDD3" w14:textId="77777777" w:rsidR="005F311C" w:rsidRPr="003113EA" w:rsidRDefault="005F311C" w:rsidP="006A5445">
      <w:pPr>
        <w:jc w:val="center"/>
      </w:pPr>
    </w:p>
    <w:p w14:paraId="2146EDD4" w14:textId="77777777" w:rsidR="006A5445" w:rsidRPr="009B55EE" w:rsidRDefault="006A5445" w:rsidP="009B55EE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DD5" w14:textId="77777777" w:rsidR="006A5445" w:rsidRPr="003113EA" w:rsidRDefault="006A5445" w:rsidP="006A5445">
      <w:pPr>
        <w:pStyle w:val="Nadpis1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sz w:val="24"/>
        </w:rPr>
        <w:t>Předmět smlouvy</w:t>
      </w:r>
    </w:p>
    <w:p w14:paraId="2146EDD6" w14:textId="1347D482" w:rsidR="006A5445" w:rsidRPr="003113EA" w:rsidRDefault="003113EA" w:rsidP="009B55EE">
      <w:pPr>
        <w:numPr>
          <w:ilvl w:val="1"/>
          <w:numId w:val="34"/>
        </w:numPr>
        <w:spacing w:after="120"/>
        <w:jc w:val="both"/>
      </w:pPr>
      <w:r w:rsidRPr="003113EA">
        <w:t xml:space="preserve">Předmětem této smlouvy je </w:t>
      </w:r>
      <w:r w:rsidRPr="00D4740A">
        <w:t xml:space="preserve">nájem tiskových a reprografických zařízení </w:t>
      </w:r>
      <w:r w:rsidR="00686054">
        <w:t>podle</w:t>
      </w:r>
      <w:r w:rsidR="00686054" w:rsidRPr="00686054">
        <w:t xml:space="preserve"> </w:t>
      </w:r>
      <w:r w:rsidR="00686054">
        <w:t xml:space="preserve">Přílohy č. 2 – Technické parametry multifunkčních zařízení a tiskáren a dle </w:t>
      </w:r>
      <w:r w:rsidR="00B34D30">
        <w:t>P</w:t>
      </w:r>
      <w:r w:rsidR="00D4740A" w:rsidRPr="00D4740A">
        <w:t>řílo</w:t>
      </w:r>
      <w:r w:rsidR="00686054">
        <w:t>hy</w:t>
      </w:r>
      <w:r w:rsidR="00D4740A" w:rsidRPr="00D4740A">
        <w:t xml:space="preserve"> č. </w:t>
      </w:r>
      <w:r w:rsidR="00686054">
        <w:t xml:space="preserve">1 – Technická </w:t>
      </w:r>
      <w:r w:rsidR="00AD238A">
        <w:t xml:space="preserve">specifikace </w:t>
      </w:r>
      <w:r w:rsidRPr="00D4740A">
        <w:t>a</w:t>
      </w:r>
      <w:r w:rsidR="00D4740A" w:rsidRPr="00D4740A">
        <w:t xml:space="preserve"> </w:t>
      </w:r>
      <w:r w:rsidR="00284E49">
        <w:t xml:space="preserve">dále </w:t>
      </w:r>
      <w:r w:rsidR="00D4740A" w:rsidRPr="00D4740A">
        <w:t>poskytování</w:t>
      </w:r>
      <w:r w:rsidR="00D4740A">
        <w:rPr>
          <w:b/>
        </w:rPr>
        <w:t xml:space="preserve"> </w:t>
      </w:r>
      <w:r w:rsidRPr="003113EA">
        <w:t>další</w:t>
      </w:r>
      <w:r w:rsidR="00D4740A">
        <w:t>ch</w:t>
      </w:r>
      <w:r w:rsidRPr="003113EA">
        <w:t xml:space="preserve"> dodáv</w:t>
      </w:r>
      <w:r w:rsidR="00D4740A">
        <w:t>e</w:t>
      </w:r>
      <w:r w:rsidRPr="003113EA">
        <w:t>k a služ</w:t>
      </w:r>
      <w:r w:rsidR="00D4740A">
        <w:t>e</w:t>
      </w:r>
      <w:r w:rsidRPr="003113EA">
        <w:t>b související</w:t>
      </w:r>
      <w:r w:rsidR="00D4740A">
        <w:t>ch</w:t>
      </w:r>
      <w:r w:rsidRPr="003113EA">
        <w:t xml:space="preserve"> s</w:t>
      </w:r>
      <w:r w:rsidR="00D4740A">
        <w:t> tímto pronájmem</w:t>
      </w:r>
      <w:r w:rsidRPr="003113EA">
        <w:t xml:space="preserve">, to vše za podmínek </w:t>
      </w:r>
      <w:r w:rsidR="00D4740A">
        <w:t xml:space="preserve">a rozsahu </w:t>
      </w:r>
      <w:r w:rsidRPr="003113EA">
        <w:t>stanovených v této smlouvě. Poskytované služby zahrnují zejm.:</w:t>
      </w:r>
    </w:p>
    <w:p w14:paraId="2146EDD7" w14:textId="77777777" w:rsidR="00172D06" w:rsidRPr="008318A7" w:rsidRDefault="00172D06" w:rsidP="009B55EE">
      <w:pPr>
        <w:numPr>
          <w:ilvl w:val="2"/>
          <w:numId w:val="34"/>
        </w:numPr>
        <w:jc w:val="both"/>
      </w:pPr>
      <w:r w:rsidRPr="008318A7">
        <w:t xml:space="preserve">nájem zařízení a systému pro správu </w:t>
      </w:r>
      <w:r>
        <w:t>a řízení tisků</w:t>
      </w:r>
      <w:r w:rsidR="00F743E1">
        <w:t>,</w:t>
      </w:r>
    </w:p>
    <w:p w14:paraId="2146EDD8" w14:textId="29456333" w:rsidR="00172D06" w:rsidRDefault="00172D06" w:rsidP="009B55EE">
      <w:pPr>
        <w:numPr>
          <w:ilvl w:val="2"/>
          <w:numId w:val="34"/>
        </w:numPr>
        <w:jc w:val="both"/>
      </w:pPr>
      <w:r w:rsidRPr="008318A7">
        <w:t>servisní úkony (opravy, dopravné, manipulace, pravidelné údržby, apod.)</w:t>
      </w:r>
      <w:r w:rsidR="00F743E1">
        <w:t>,</w:t>
      </w:r>
    </w:p>
    <w:p w14:paraId="65FB7537" w14:textId="0F937886" w:rsidR="00003FC7" w:rsidRPr="008318A7" w:rsidRDefault="00003FC7" w:rsidP="009B55EE">
      <w:pPr>
        <w:numPr>
          <w:ilvl w:val="2"/>
          <w:numId w:val="34"/>
        </w:numPr>
        <w:jc w:val="both"/>
      </w:pPr>
      <w:r>
        <w:t>pravidelné elektrické revize v zákonných intervalech,</w:t>
      </w:r>
    </w:p>
    <w:p w14:paraId="2146EDD9" w14:textId="40826C59" w:rsidR="00172D06" w:rsidRPr="008318A7" w:rsidRDefault="00172D06" w:rsidP="009B55EE">
      <w:pPr>
        <w:numPr>
          <w:ilvl w:val="2"/>
          <w:numId w:val="34"/>
        </w:numPr>
        <w:jc w:val="both"/>
      </w:pPr>
      <w:r>
        <w:t xml:space="preserve">dodávky veškerého </w:t>
      </w:r>
      <w:r w:rsidRPr="008318A7">
        <w:t>spotřební</w:t>
      </w:r>
      <w:r>
        <w:t>ho</w:t>
      </w:r>
      <w:r w:rsidRPr="008318A7">
        <w:t xml:space="preserve"> materiál</w:t>
      </w:r>
      <w:r>
        <w:t>u</w:t>
      </w:r>
      <w:r w:rsidR="00F743E1">
        <w:t>,</w:t>
      </w:r>
      <w:r>
        <w:t xml:space="preserve"> </w:t>
      </w:r>
      <w:r w:rsidR="00A95678">
        <w:t>odvoz a likvidace prázdného spotřebního materiálu,</w:t>
      </w:r>
    </w:p>
    <w:p w14:paraId="2146EDDA" w14:textId="77777777" w:rsidR="00172D06" w:rsidRPr="008318A7" w:rsidRDefault="00172D06" w:rsidP="009B55EE">
      <w:pPr>
        <w:numPr>
          <w:ilvl w:val="2"/>
          <w:numId w:val="34"/>
        </w:numPr>
        <w:jc w:val="both"/>
      </w:pPr>
      <w:r w:rsidRPr="008318A7">
        <w:t>dodávky veškerých náhradních a běžně opotřebitelných dílů k najatým zařízením,</w:t>
      </w:r>
    </w:p>
    <w:p w14:paraId="2146EDDB" w14:textId="77777777" w:rsidR="00172D06" w:rsidRPr="008318A7" w:rsidRDefault="00172D06" w:rsidP="009B55EE">
      <w:pPr>
        <w:numPr>
          <w:ilvl w:val="2"/>
          <w:numId w:val="34"/>
        </w:numPr>
        <w:jc w:val="both"/>
      </w:pPr>
      <w:r w:rsidRPr="008318A7">
        <w:t>komplexní technickou podporu tiskových a kopírovacích zařízení</w:t>
      </w:r>
      <w:r w:rsidR="00F743E1">
        <w:t>,</w:t>
      </w:r>
      <w:r w:rsidRPr="008318A7">
        <w:t xml:space="preserve"> </w:t>
      </w:r>
    </w:p>
    <w:p w14:paraId="2146EDDC" w14:textId="77777777" w:rsidR="00172D06" w:rsidRPr="008318A7" w:rsidRDefault="00172D06" w:rsidP="009B55EE">
      <w:pPr>
        <w:numPr>
          <w:ilvl w:val="2"/>
          <w:numId w:val="34"/>
        </w:numPr>
        <w:jc w:val="both"/>
      </w:pPr>
      <w:r w:rsidRPr="008318A7">
        <w:t xml:space="preserve">komplexní technickou podporu </w:t>
      </w:r>
      <w:r w:rsidR="00F743E1">
        <w:t>S</w:t>
      </w:r>
      <w:r w:rsidRPr="008318A7">
        <w:t xml:space="preserve">ystému pro </w:t>
      </w:r>
      <w:r>
        <w:t>správu a řízení tisků</w:t>
      </w:r>
      <w:r w:rsidR="00F743E1">
        <w:t>,</w:t>
      </w:r>
    </w:p>
    <w:p w14:paraId="2146EDDD" w14:textId="77777777" w:rsidR="00172D06" w:rsidRPr="008318A7" w:rsidRDefault="00172D06" w:rsidP="009B55EE">
      <w:pPr>
        <w:numPr>
          <w:ilvl w:val="2"/>
          <w:numId w:val="34"/>
        </w:numPr>
        <w:jc w:val="both"/>
      </w:pPr>
      <w:r w:rsidRPr="008318A7">
        <w:t xml:space="preserve">zajištění veškerých práv a licencí souvisejících s provozováním pronajatých zařízení minimálně po celou dobu platnosti této smlouvy, </w:t>
      </w:r>
    </w:p>
    <w:p w14:paraId="2146EDDE" w14:textId="77777777" w:rsidR="00172D06" w:rsidRPr="00050579" w:rsidRDefault="00172D06" w:rsidP="009B55EE">
      <w:pPr>
        <w:numPr>
          <w:ilvl w:val="2"/>
          <w:numId w:val="34"/>
        </w:numPr>
        <w:jc w:val="both"/>
      </w:pPr>
      <w:r w:rsidRPr="008318A7">
        <w:t xml:space="preserve">zajištění veškerých práv a licencí též pro dobu po zániku této smlouvy, které Odběrateli </w:t>
      </w:r>
      <w:r w:rsidRPr="00050579">
        <w:t>umožní přístup k jeho databázím a uloženým datům alespoň ve formě umožňující čtení obsahu dat (tzv. licence pro čtení dat),</w:t>
      </w:r>
    </w:p>
    <w:p w14:paraId="2146EDDF" w14:textId="77777777" w:rsidR="00172D06" w:rsidRPr="001608CF" w:rsidRDefault="00172D06" w:rsidP="009B55EE">
      <w:pPr>
        <w:numPr>
          <w:ilvl w:val="2"/>
          <w:numId w:val="34"/>
        </w:numPr>
        <w:jc w:val="both"/>
      </w:pPr>
      <w:r w:rsidRPr="001608CF">
        <w:t xml:space="preserve">zaškolení personálu </w:t>
      </w:r>
      <w:r w:rsidR="00315F6C">
        <w:t>O</w:t>
      </w:r>
      <w:r w:rsidRPr="001608CF">
        <w:t xml:space="preserve">dběratele pro účely plného a správného </w:t>
      </w:r>
      <w:r w:rsidR="00C24250" w:rsidRPr="001608CF">
        <w:t>využ</w:t>
      </w:r>
      <w:r w:rsidR="00C24250">
        <w:t>íván</w:t>
      </w:r>
      <w:r w:rsidR="00C24250" w:rsidRPr="001608CF">
        <w:t xml:space="preserve">í </w:t>
      </w:r>
      <w:r w:rsidRPr="001608CF">
        <w:t xml:space="preserve">a </w:t>
      </w:r>
      <w:r w:rsidR="00C24250" w:rsidRPr="001608CF">
        <w:t>správ</w:t>
      </w:r>
      <w:r w:rsidR="00C24250">
        <w:t>y</w:t>
      </w:r>
      <w:r w:rsidR="00C24250" w:rsidRPr="001608CF">
        <w:t xml:space="preserve"> </w:t>
      </w:r>
      <w:r w:rsidRPr="001608CF">
        <w:t>pronajatého zařízení</w:t>
      </w:r>
      <w:r w:rsidR="001608CF">
        <w:t xml:space="preserve"> a SW</w:t>
      </w:r>
      <w:r w:rsidRPr="001608CF">
        <w:t>.</w:t>
      </w:r>
    </w:p>
    <w:p w14:paraId="2146EDE0" w14:textId="77777777" w:rsidR="00172D06" w:rsidRPr="00172D06" w:rsidRDefault="00172D06" w:rsidP="00172D06">
      <w:pPr>
        <w:ind w:left="1134"/>
        <w:jc w:val="both"/>
      </w:pPr>
    </w:p>
    <w:p w14:paraId="2146EDE2" w14:textId="77777777" w:rsidR="006A5445" w:rsidRPr="00E265E7" w:rsidRDefault="006A5445" w:rsidP="00D77229">
      <w:pPr>
        <w:pStyle w:val="Zkladntext2"/>
        <w:numPr>
          <w:ilvl w:val="1"/>
          <w:numId w:val="34"/>
        </w:numPr>
        <w:spacing w:after="120"/>
        <w:jc w:val="both"/>
        <w:rPr>
          <w:rFonts w:ascii="Times New Roman" w:hAnsi="Times New Roman"/>
          <w:sz w:val="24"/>
        </w:rPr>
      </w:pPr>
      <w:r w:rsidRPr="00E265E7">
        <w:rPr>
          <w:rFonts w:ascii="Times New Roman" w:hAnsi="Times New Roman"/>
          <w:sz w:val="24"/>
        </w:rPr>
        <w:t xml:space="preserve">Najatá zařízení jsou po celou dobu platnosti a účinnosti této smlouvy majetkem </w:t>
      </w:r>
      <w:r w:rsidR="00315F6C">
        <w:rPr>
          <w:rFonts w:ascii="Times New Roman" w:hAnsi="Times New Roman"/>
          <w:sz w:val="24"/>
        </w:rPr>
        <w:t>D</w:t>
      </w:r>
      <w:r w:rsidRPr="00E265E7">
        <w:rPr>
          <w:rFonts w:ascii="Times New Roman" w:hAnsi="Times New Roman"/>
          <w:sz w:val="24"/>
        </w:rPr>
        <w:t xml:space="preserve">odavatele. </w:t>
      </w:r>
      <w:r w:rsidR="00E265E7" w:rsidRPr="00E265E7">
        <w:rPr>
          <w:rFonts w:ascii="Times New Roman" w:hAnsi="Times New Roman"/>
          <w:sz w:val="24"/>
        </w:rPr>
        <w:t>Dodavatel se zavazuje po dobu platnosti smlouvy udržovat zařízení v provozuschopném stavu, a to jak z hlediska technického, tak z hlediska právního. Za tím účelem je Dodavatel mj. povinen zajistit veškerá práva a licence nezbytná pro poskytnutí zařízení Odběrateli.</w:t>
      </w:r>
    </w:p>
    <w:p w14:paraId="2146EDE3" w14:textId="1917D81D" w:rsidR="00464B51" w:rsidRDefault="006A5445" w:rsidP="00D77229">
      <w:pPr>
        <w:pStyle w:val="Zkladntext2"/>
        <w:numPr>
          <w:ilvl w:val="1"/>
          <w:numId w:val="34"/>
        </w:numPr>
        <w:spacing w:after="120"/>
        <w:jc w:val="both"/>
        <w:rPr>
          <w:rFonts w:ascii="Times New Roman" w:hAnsi="Times New Roman"/>
          <w:sz w:val="24"/>
        </w:rPr>
      </w:pPr>
      <w:r w:rsidRPr="00172D06">
        <w:rPr>
          <w:rFonts w:ascii="Times New Roman" w:hAnsi="Times New Roman"/>
          <w:sz w:val="24"/>
        </w:rPr>
        <w:t xml:space="preserve">Dodavatel se zavazuje dodat zařízení v takovém množství a kvalitě, aby byla plně uspokojena potřeba </w:t>
      </w:r>
      <w:r w:rsidR="00284E49">
        <w:rPr>
          <w:rFonts w:ascii="Times New Roman" w:hAnsi="Times New Roman"/>
          <w:sz w:val="24"/>
        </w:rPr>
        <w:t>Odběr</w:t>
      </w:r>
      <w:r w:rsidRPr="00172D06">
        <w:rPr>
          <w:rFonts w:ascii="Times New Roman" w:hAnsi="Times New Roman"/>
          <w:sz w:val="24"/>
        </w:rPr>
        <w:t>atele.</w:t>
      </w:r>
      <w:r w:rsidR="00D20C8E" w:rsidRPr="00172D06">
        <w:rPr>
          <w:rFonts w:ascii="Times New Roman" w:hAnsi="Times New Roman"/>
          <w:sz w:val="24"/>
        </w:rPr>
        <w:t xml:space="preserve"> </w:t>
      </w:r>
    </w:p>
    <w:p w14:paraId="2146EDE6" w14:textId="41530B41" w:rsidR="00464B51" w:rsidRPr="00284E49" w:rsidRDefault="001608CF" w:rsidP="00471B00">
      <w:pPr>
        <w:pStyle w:val="Zkladntext2"/>
        <w:numPr>
          <w:ilvl w:val="1"/>
          <w:numId w:val="34"/>
        </w:numPr>
        <w:spacing w:after="120"/>
        <w:jc w:val="both"/>
        <w:rPr>
          <w:rFonts w:ascii="Times New Roman" w:hAnsi="Times New Roman"/>
          <w:sz w:val="24"/>
        </w:rPr>
      </w:pPr>
      <w:r w:rsidRPr="00284E49">
        <w:rPr>
          <w:rFonts w:ascii="Times New Roman" w:hAnsi="Times New Roman"/>
          <w:sz w:val="24"/>
        </w:rPr>
        <w:t>Dodavatel tiskových a reprografických služeb se zavazuje, že na žádost O</w:t>
      </w:r>
      <w:r w:rsidR="00284E49" w:rsidRPr="00284E49">
        <w:rPr>
          <w:rFonts w:ascii="Times New Roman" w:hAnsi="Times New Roman"/>
          <w:sz w:val="24"/>
        </w:rPr>
        <w:t>dběr</w:t>
      </w:r>
      <w:r w:rsidRPr="00284E49">
        <w:rPr>
          <w:rFonts w:ascii="Times New Roman" w:hAnsi="Times New Roman"/>
          <w:sz w:val="24"/>
        </w:rPr>
        <w:t xml:space="preserve">atele bude akceptovat požadavek na ponížení počtu tiskových zařízení až o 20 % bez navýšení jednotkových cen ukotvených ve Smlouvě. To znamená, že v takovém případě se celková výše měsíčních paušálů za všechna tisková zařízení sníží o ceny paušálů odebraných strojů (vč. paušálu za nájem Systému správy tisků - je-li licenční model tiskového systému dle počtu zařízení). V případě potřeby navýšení počtu tiskových zařízení o libovolný počet, dodá </w:t>
      </w:r>
      <w:r w:rsidR="0060752D" w:rsidRPr="00284E49">
        <w:rPr>
          <w:rFonts w:ascii="Times New Roman" w:hAnsi="Times New Roman"/>
          <w:sz w:val="24"/>
        </w:rPr>
        <w:t>Dodavatel</w:t>
      </w:r>
      <w:r w:rsidRPr="00284E49">
        <w:rPr>
          <w:rFonts w:ascii="Times New Roman" w:hAnsi="Times New Roman"/>
          <w:sz w:val="24"/>
        </w:rPr>
        <w:t xml:space="preserve"> </w:t>
      </w:r>
      <w:r w:rsidR="00F9029D" w:rsidRPr="00284E49">
        <w:rPr>
          <w:rFonts w:ascii="Times New Roman" w:hAnsi="Times New Roman"/>
          <w:sz w:val="24"/>
        </w:rPr>
        <w:t>p</w:t>
      </w:r>
      <w:r w:rsidRPr="00284E49">
        <w:rPr>
          <w:rFonts w:ascii="Times New Roman" w:hAnsi="Times New Roman"/>
          <w:sz w:val="24"/>
        </w:rPr>
        <w:t>o dobu platnosti Smlouvy tato zařízení za stejné nebo nižší ceny měsíčního paušálu a za stejné nebo nižší ceny výstupů</w:t>
      </w:r>
      <w:r w:rsidR="0060752D" w:rsidRPr="0060752D">
        <w:t xml:space="preserve"> </w:t>
      </w:r>
      <w:r w:rsidR="0060752D" w:rsidRPr="00284E49">
        <w:rPr>
          <w:rFonts w:ascii="Times New Roman" w:hAnsi="Times New Roman"/>
          <w:sz w:val="24"/>
        </w:rPr>
        <w:t>sjednané touto smlouvou</w:t>
      </w:r>
      <w:r w:rsidRPr="00284E49">
        <w:rPr>
          <w:rFonts w:ascii="Times New Roman" w:hAnsi="Times New Roman"/>
          <w:sz w:val="24"/>
        </w:rPr>
        <w:t>.</w:t>
      </w:r>
      <w:r w:rsidR="00172D06" w:rsidRPr="00284E49">
        <w:rPr>
          <w:rFonts w:ascii="Times New Roman" w:hAnsi="Times New Roman"/>
          <w:sz w:val="24"/>
        </w:rPr>
        <w:t xml:space="preserve"> Uplatní-li </w:t>
      </w:r>
      <w:r w:rsidR="00315F6C" w:rsidRPr="00284E49">
        <w:rPr>
          <w:rFonts w:ascii="Times New Roman" w:hAnsi="Times New Roman"/>
          <w:sz w:val="24"/>
        </w:rPr>
        <w:t>O</w:t>
      </w:r>
      <w:r w:rsidR="00172D06" w:rsidRPr="00284E49">
        <w:rPr>
          <w:rFonts w:ascii="Times New Roman" w:hAnsi="Times New Roman"/>
          <w:sz w:val="24"/>
        </w:rPr>
        <w:t xml:space="preserve">dběratel takový nárok na zvýšení nebo snížení počtu tiskových zařízení, je Dodavatel povinen doplnit či snížit požadovaný počet pronajatých </w:t>
      </w:r>
      <w:r w:rsidR="00284E49">
        <w:rPr>
          <w:rFonts w:ascii="Times New Roman" w:hAnsi="Times New Roman"/>
          <w:sz w:val="24"/>
        </w:rPr>
        <w:t>z</w:t>
      </w:r>
      <w:r w:rsidR="00172D06" w:rsidRPr="00284E49">
        <w:rPr>
          <w:rFonts w:ascii="Times New Roman" w:hAnsi="Times New Roman"/>
          <w:sz w:val="24"/>
        </w:rPr>
        <w:t xml:space="preserve">ařízení nejpozději do </w:t>
      </w:r>
      <w:r w:rsidR="00B636D1" w:rsidRPr="00284E49">
        <w:rPr>
          <w:rFonts w:ascii="Times New Roman" w:hAnsi="Times New Roman"/>
          <w:sz w:val="24"/>
        </w:rPr>
        <w:t xml:space="preserve">šesti týdnů </w:t>
      </w:r>
      <w:r w:rsidR="00172D06" w:rsidRPr="00284E49">
        <w:rPr>
          <w:rFonts w:ascii="Times New Roman" w:hAnsi="Times New Roman"/>
          <w:sz w:val="24"/>
        </w:rPr>
        <w:t>ode dne, kdy takový písemně uplatněný nárok byl Dodavateli doručen.</w:t>
      </w:r>
      <w:r w:rsidR="00464B51" w:rsidRPr="00284E49">
        <w:rPr>
          <w:rFonts w:ascii="Times New Roman" w:hAnsi="Times New Roman"/>
          <w:sz w:val="24"/>
        </w:rPr>
        <w:t xml:space="preserve"> Parametry variability tiskového a reprografického systému jsou blíže vymezeny </w:t>
      </w:r>
      <w:r w:rsidR="00464B51" w:rsidRPr="00284E49">
        <w:rPr>
          <w:rFonts w:ascii="Times New Roman" w:hAnsi="Times New Roman"/>
          <w:sz w:val="24"/>
        </w:rPr>
        <w:lastRenderedPageBreak/>
        <w:t>v</w:t>
      </w:r>
      <w:r w:rsidR="00AD238A">
        <w:rPr>
          <w:rFonts w:ascii="Times New Roman" w:hAnsi="Times New Roman"/>
          <w:sz w:val="24"/>
        </w:rPr>
        <w:t xml:space="preserve"> Příloze č. 1 - </w:t>
      </w:r>
      <w:r w:rsidR="00124189" w:rsidRPr="00284E49">
        <w:rPr>
          <w:rFonts w:ascii="Times New Roman" w:hAnsi="Times New Roman"/>
          <w:sz w:val="24"/>
        </w:rPr>
        <w:t>T</w:t>
      </w:r>
      <w:r w:rsidR="00464B51" w:rsidRPr="00284E49">
        <w:rPr>
          <w:rFonts w:ascii="Times New Roman" w:hAnsi="Times New Roman"/>
          <w:sz w:val="24"/>
        </w:rPr>
        <w:t xml:space="preserve">echnické </w:t>
      </w:r>
      <w:r w:rsidR="00AD238A">
        <w:rPr>
          <w:rFonts w:ascii="Times New Roman" w:hAnsi="Times New Roman"/>
          <w:sz w:val="24"/>
        </w:rPr>
        <w:t>specifikaci</w:t>
      </w:r>
      <w:r w:rsidR="00124189" w:rsidRPr="00284E49">
        <w:rPr>
          <w:rFonts w:ascii="Times New Roman" w:hAnsi="Times New Roman"/>
          <w:sz w:val="24"/>
        </w:rPr>
        <w:t>.</w:t>
      </w:r>
      <w:r w:rsidR="00464B51" w:rsidRPr="00284E49">
        <w:rPr>
          <w:rFonts w:ascii="Times New Roman" w:hAnsi="Times New Roman"/>
          <w:sz w:val="24"/>
        </w:rPr>
        <w:t xml:space="preserve"> (</w:t>
      </w:r>
      <w:r w:rsidR="00B636D1" w:rsidRPr="00284E49">
        <w:rPr>
          <w:rFonts w:ascii="Times New Roman" w:hAnsi="Times New Roman"/>
          <w:i/>
          <w:sz w:val="24"/>
        </w:rPr>
        <w:t xml:space="preserve">v kapitole </w:t>
      </w:r>
      <w:r w:rsidR="00AD6C37">
        <w:rPr>
          <w:rFonts w:ascii="Times New Roman" w:hAnsi="Times New Roman"/>
          <w:i/>
          <w:sz w:val="24"/>
        </w:rPr>
        <w:t>Základní minimální parametry variability tiskového a reprografického systému</w:t>
      </w:r>
      <w:r w:rsidR="00464B51" w:rsidRPr="00284E49">
        <w:rPr>
          <w:rFonts w:ascii="Times New Roman" w:hAnsi="Times New Roman"/>
          <w:sz w:val="24"/>
        </w:rPr>
        <w:t>).</w:t>
      </w:r>
    </w:p>
    <w:p w14:paraId="2146EDE7" w14:textId="77777777" w:rsidR="00AD1517" w:rsidRPr="00464B51" w:rsidRDefault="00AD1517" w:rsidP="00D77229">
      <w:pPr>
        <w:pStyle w:val="Zkladntext2"/>
        <w:numPr>
          <w:ilvl w:val="1"/>
          <w:numId w:val="34"/>
        </w:numPr>
        <w:spacing w:after="120"/>
        <w:jc w:val="both"/>
        <w:rPr>
          <w:rFonts w:ascii="Times New Roman" w:hAnsi="Times New Roman"/>
          <w:sz w:val="24"/>
        </w:rPr>
      </w:pPr>
      <w:r w:rsidRPr="00464B51">
        <w:rPr>
          <w:rFonts w:ascii="Times New Roman" w:hAnsi="Times New Roman"/>
          <w:sz w:val="24"/>
        </w:rPr>
        <w:t xml:space="preserve">Odběratel si vyhrazuje právo odebírat </w:t>
      </w:r>
      <w:r w:rsidR="00656E94" w:rsidRPr="00464B51">
        <w:rPr>
          <w:rFonts w:ascii="Times New Roman" w:hAnsi="Times New Roman"/>
          <w:sz w:val="24"/>
        </w:rPr>
        <w:t>a pou</w:t>
      </w:r>
      <w:r w:rsidR="00F514B8" w:rsidRPr="00464B51">
        <w:rPr>
          <w:rFonts w:ascii="Times New Roman" w:hAnsi="Times New Roman"/>
          <w:sz w:val="24"/>
        </w:rPr>
        <w:t xml:space="preserve">žívat </w:t>
      </w:r>
      <w:r w:rsidRPr="00464B51">
        <w:rPr>
          <w:rFonts w:ascii="Times New Roman" w:hAnsi="Times New Roman"/>
          <w:sz w:val="24"/>
        </w:rPr>
        <w:t xml:space="preserve">papíry do pronajatých zařízení i od jiných dodavatelů. </w:t>
      </w:r>
    </w:p>
    <w:p w14:paraId="2146EDE8" w14:textId="77777777" w:rsidR="006A5346" w:rsidRPr="003113EA" w:rsidRDefault="006A5346" w:rsidP="00D77229">
      <w:pPr>
        <w:numPr>
          <w:ilvl w:val="1"/>
          <w:numId w:val="34"/>
        </w:numPr>
        <w:spacing w:after="120"/>
        <w:jc w:val="both"/>
      </w:pPr>
      <w:r w:rsidRPr="003113EA">
        <w:t xml:space="preserve">Účelem smlouvy je optimální využití najatých zařízení a přenesení odpovědnosti za jejich provoz na </w:t>
      </w:r>
      <w:r w:rsidR="00315F6C">
        <w:t>D</w:t>
      </w:r>
      <w:r w:rsidRPr="003113EA">
        <w:t>odavatele.</w:t>
      </w:r>
    </w:p>
    <w:p w14:paraId="2146EDE9" w14:textId="77777777" w:rsidR="003A1340" w:rsidRDefault="003A1340" w:rsidP="006A5445">
      <w:pPr>
        <w:jc w:val="center"/>
        <w:rPr>
          <w:b/>
        </w:rPr>
      </w:pPr>
    </w:p>
    <w:p w14:paraId="2146EDEA" w14:textId="77777777" w:rsidR="005F311C" w:rsidRDefault="005F311C" w:rsidP="006A5445">
      <w:pPr>
        <w:jc w:val="center"/>
        <w:rPr>
          <w:b/>
        </w:rPr>
      </w:pPr>
    </w:p>
    <w:p w14:paraId="2146EDEB" w14:textId="77777777" w:rsidR="006A5445" w:rsidRPr="00597687" w:rsidRDefault="006A5445" w:rsidP="00597687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DEC" w14:textId="77777777" w:rsidR="007337C5" w:rsidRPr="00E265E7" w:rsidRDefault="00245CE3" w:rsidP="006A5445">
      <w:pPr>
        <w:jc w:val="center"/>
        <w:rPr>
          <w:b/>
        </w:rPr>
      </w:pPr>
      <w:r w:rsidRPr="00E265E7">
        <w:rPr>
          <w:b/>
        </w:rPr>
        <w:t>Analýza stávajícího stavu s návrhem na optimalizaci řešení</w:t>
      </w:r>
    </w:p>
    <w:p w14:paraId="2146EDED" w14:textId="77777777" w:rsidR="00245CE3" w:rsidRPr="00E265E7" w:rsidRDefault="00245CE3" w:rsidP="00245CE3">
      <w:pPr>
        <w:jc w:val="both"/>
      </w:pPr>
    </w:p>
    <w:p w14:paraId="2146EDEE" w14:textId="521E7E7F" w:rsidR="00245CE3" w:rsidRPr="00E265E7" w:rsidRDefault="00245CE3" w:rsidP="00597687">
      <w:pPr>
        <w:numPr>
          <w:ilvl w:val="1"/>
          <w:numId w:val="34"/>
        </w:numPr>
        <w:spacing w:after="120"/>
        <w:jc w:val="both"/>
      </w:pPr>
      <w:r w:rsidRPr="00E265E7">
        <w:t xml:space="preserve">Dodavatel se zavazuje bez odkladu po uzavření této smlouvy na </w:t>
      </w:r>
      <w:r w:rsidR="00D27178">
        <w:t xml:space="preserve">své náklady </w:t>
      </w:r>
      <w:r w:rsidR="00D27178">
        <w:br/>
      </w:r>
      <w:r w:rsidRPr="00E265E7">
        <w:t xml:space="preserve">a nebezpečí zpracovat analýzu stávajícího stavu systému používání a správy obdobných zařízení </w:t>
      </w:r>
      <w:r w:rsidR="00315F6C">
        <w:t>O</w:t>
      </w:r>
      <w:r w:rsidRPr="00E265E7">
        <w:t>dběratelem (zejm. počty</w:t>
      </w:r>
      <w:r w:rsidR="00ED6A24">
        <w:t>, typy</w:t>
      </w:r>
      <w:r w:rsidRPr="00E265E7">
        <w:t xml:space="preserve"> a umístění jednotlivých zařízení) a předložit </w:t>
      </w:r>
      <w:r w:rsidR="00315F6C">
        <w:t>O</w:t>
      </w:r>
      <w:r w:rsidRPr="00E265E7">
        <w:t xml:space="preserve">dběrateli vlastní návrh řešení (optimalizaci řešení jak z hlediska funkčnosti, tak z hlediska nákladů </w:t>
      </w:r>
      <w:r w:rsidR="00315F6C">
        <w:t>O</w:t>
      </w:r>
      <w:r w:rsidRPr="00E265E7">
        <w:t xml:space="preserve">dběratele na dané služby). Pro případ, že návrh Dodavatele bude </w:t>
      </w:r>
      <w:r w:rsidR="00D51073">
        <w:t>O</w:t>
      </w:r>
      <w:r w:rsidRPr="00E265E7">
        <w:t>dběratelem schválen, uzavřou strany dodatek k této smlouvě, kterým upraví předmět této smlouvy dle Dodavatelem navrženého řešení. V návaznosti na takovou změnu předmětu plnění strany upraví přiměřeně i další ustanovení, která takovou změnou budou dotčena.</w:t>
      </w:r>
      <w:r w:rsidR="00AD6C37">
        <w:t xml:space="preserve"> V případě, že Odběratel návrh neschválí, bude Dodavatelem </w:t>
      </w:r>
      <w:r w:rsidR="00681C64">
        <w:t>jeho návrh na základě připomínek Odběratele</w:t>
      </w:r>
      <w:r w:rsidR="00681C64" w:rsidRPr="00681C64">
        <w:t xml:space="preserve"> </w:t>
      </w:r>
      <w:r w:rsidR="00681C64">
        <w:t>přepracován</w:t>
      </w:r>
      <w:r w:rsidR="00AD6C37">
        <w:t>.</w:t>
      </w:r>
      <w:r w:rsidR="00681C64">
        <w:t xml:space="preserve"> Začátek plnění dle čl. IV této smlouvy musí být i po této analýze dodržen.</w:t>
      </w:r>
    </w:p>
    <w:p w14:paraId="2146EDEF" w14:textId="27CDFCE5" w:rsidR="00E77061" w:rsidRPr="003113EA" w:rsidRDefault="00245CE3" w:rsidP="00597687">
      <w:pPr>
        <w:numPr>
          <w:ilvl w:val="1"/>
          <w:numId w:val="34"/>
        </w:numPr>
        <w:spacing w:after="120"/>
        <w:jc w:val="both"/>
      </w:pPr>
      <w:r w:rsidRPr="00E265E7">
        <w:t xml:space="preserve">Návrh na optimalizaci řešení je Dodavatel povinen předložit </w:t>
      </w:r>
      <w:r w:rsidR="00E77061" w:rsidRPr="00E265E7">
        <w:t xml:space="preserve">v písemné formě </w:t>
      </w:r>
      <w:r w:rsidR="00315F6C">
        <w:t>O</w:t>
      </w:r>
      <w:r w:rsidRPr="00E265E7">
        <w:t xml:space="preserve">dběrateli nejpozději </w:t>
      </w:r>
      <w:r w:rsidRPr="00992A90">
        <w:t xml:space="preserve">do </w:t>
      </w:r>
      <w:r w:rsidR="003217CB">
        <w:t>15 pracovních dnů od uzavření této smlouvy</w:t>
      </w:r>
      <w:r w:rsidRPr="00992A90">
        <w:t>.</w:t>
      </w:r>
      <w:r w:rsidRPr="00E265E7">
        <w:t xml:space="preserve"> Strany o splnění této povinnosti Dodavatele sepíší předávací protokol.</w:t>
      </w:r>
      <w:r w:rsidRPr="003113EA">
        <w:t xml:space="preserve"> </w:t>
      </w:r>
    </w:p>
    <w:p w14:paraId="2146EDF0" w14:textId="77777777" w:rsidR="00245CE3" w:rsidRDefault="00E77061" w:rsidP="00597687">
      <w:pPr>
        <w:numPr>
          <w:ilvl w:val="1"/>
          <w:numId w:val="34"/>
        </w:numPr>
        <w:spacing w:after="120"/>
        <w:jc w:val="both"/>
      </w:pPr>
      <w:r w:rsidRPr="003113EA">
        <w:t xml:space="preserve">Bude-li smluvními stranami na základě návrhu Dodavatele na optimalizaci řešení upraven dodatkem předmět této smlouvy, stane se návrh řešení Dodavatele nedílnou součástí takového dodatku. Dodavatel bere na vědomí a souhlasí s tím, aby Odběratel zveřejnil na svém profilu </w:t>
      </w:r>
      <w:r w:rsidR="00315F6C">
        <w:t>Odběr</w:t>
      </w:r>
      <w:r w:rsidRPr="003113EA">
        <w:t xml:space="preserve">atele jak znění dodatku, tak návrhu na optimalizaci řešení. </w:t>
      </w:r>
    </w:p>
    <w:p w14:paraId="2146EDF1" w14:textId="77777777" w:rsidR="00597687" w:rsidRDefault="00597687" w:rsidP="00597687">
      <w:pPr>
        <w:spacing w:after="120"/>
        <w:jc w:val="both"/>
      </w:pPr>
    </w:p>
    <w:p w14:paraId="2146EDF2" w14:textId="77777777" w:rsidR="00245CE3" w:rsidRPr="004834F0" w:rsidRDefault="00245CE3" w:rsidP="004834F0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DF3" w14:textId="77777777" w:rsidR="006A5445" w:rsidRPr="003113EA" w:rsidRDefault="006A5445" w:rsidP="006A5445">
      <w:pPr>
        <w:pStyle w:val="Zkladntext2"/>
        <w:spacing w:after="120"/>
        <w:jc w:val="center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b/>
          <w:sz w:val="24"/>
        </w:rPr>
        <w:t>Doba</w:t>
      </w:r>
      <w:r w:rsidR="00E77061" w:rsidRPr="003113EA">
        <w:rPr>
          <w:rFonts w:ascii="Times New Roman" w:hAnsi="Times New Roman"/>
          <w:b/>
          <w:sz w:val="24"/>
        </w:rPr>
        <w:t xml:space="preserve"> a místo </w:t>
      </w:r>
      <w:r w:rsidRPr="003113EA">
        <w:rPr>
          <w:rFonts w:ascii="Times New Roman" w:hAnsi="Times New Roman"/>
          <w:b/>
          <w:sz w:val="24"/>
        </w:rPr>
        <w:t>plnění smlouvy</w:t>
      </w:r>
    </w:p>
    <w:p w14:paraId="2146EDF4" w14:textId="6392D85E" w:rsidR="00BA4C8E" w:rsidRDefault="00BA4C8E" w:rsidP="004834F0">
      <w:pPr>
        <w:numPr>
          <w:ilvl w:val="1"/>
          <w:numId w:val="34"/>
        </w:numPr>
        <w:spacing w:after="120"/>
        <w:jc w:val="both"/>
      </w:pPr>
      <w:r w:rsidRPr="004417D0">
        <w:t xml:space="preserve">Nájem tiskového a reprografického systému se sjednává na dobu určitou, </w:t>
      </w:r>
      <w:r w:rsidRPr="00F743E1">
        <w:rPr>
          <w:b/>
        </w:rPr>
        <w:t>počínaje dne</w:t>
      </w:r>
      <w:r w:rsidR="009E2411">
        <w:rPr>
          <w:b/>
        </w:rPr>
        <w:t>m</w:t>
      </w:r>
      <w:r w:rsidRPr="00F743E1">
        <w:rPr>
          <w:b/>
        </w:rPr>
        <w:t xml:space="preserve"> 1.</w:t>
      </w:r>
      <w:r w:rsidR="00F544C5">
        <w:rPr>
          <w:b/>
        </w:rPr>
        <w:t xml:space="preserve"> </w:t>
      </w:r>
      <w:r w:rsidRPr="00F743E1">
        <w:rPr>
          <w:b/>
        </w:rPr>
        <w:t>7.</w:t>
      </w:r>
      <w:r w:rsidR="00F544C5">
        <w:rPr>
          <w:b/>
        </w:rPr>
        <w:t xml:space="preserve"> </w:t>
      </w:r>
      <w:r w:rsidRPr="00F743E1">
        <w:rPr>
          <w:b/>
        </w:rPr>
        <w:t>20</w:t>
      </w:r>
      <w:r w:rsidR="003217CB">
        <w:rPr>
          <w:b/>
        </w:rPr>
        <w:t>2</w:t>
      </w:r>
      <w:r w:rsidRPr="00F743E1">
        <w:rPr>
          <w:b/>
        </w:rPr>
        <w:t>1 a konče dne</w:t>
      </w:r>
      <w:r w:rsidR="00F544C5">
        <w:rPr>
          <w:b/>
        </w:rPr>
        <w:t>m</w:t>
      </w:r>
      <w:r w:rsidRPr="00F743E1">
        <w:rPr>
          <w:b/>
        </w:rPr>
        <w:t xml:space="preserve"> 30.</w:t>
      </w:r>
      <w:r w:rsidR="00F544C5">
        <w:rPr>
          <w:b/>
        </w:rPr>
        <w:t xml:space="preserve"> </w:t>
      </w:r>
      <w:r w:rsidRPr="00F743E1">
        <w:rPr>
          <w:b/>
        </w:rPr>
        <w:t>6.</w:t>
      </w:r>
      <w:r w:rsidR="00F544C5">
        <w:rPr>
          <w:b/>
        </w:rPr>
        <w:t xml:space="preserve"> </w:t>
      </w:r>
      <w:r w:rsidR="003217CB">
        <w:rPr>
          <w:b/>
        </w:rPr>
        <w:t>2025</w:t>
      </w:r>
      <w:r w:rsidR="00315F6C">
        <w:t>. Nárok D</w:t>
      </w:r>
      <w:r w:rsidRPr="004417D0">
        <w:t>odavatele na úhradu nájemného vzniká nejdří</w:t>
      </w:r>
      <w:r w:rsidR="00315F6C">
        <w:t>ve od 1.</w:t>
      </w:r>
      <w:r w:rsidR="00F8264C">
        <w:t xml:space="preserve"> </w:t>
      </w:r>
      <w:r w:rsidR="00315F6C">
        <w:t>7.</w:t>
      </w:r>
      <w:r w:rsidR="00F8264C">
        <w:t xml:space="preserve"> </w:t>
      </w:r>
      <w:r w:rsidR="00315F6C">
        <w:t>20</w:t>
      </w:r>
      <w:r w:rsidR="003217CB">
        <w:t>2</w:t>
      </w:r>
      <w:r w:rsidR="00315F6C">
        <w:t>1. Pro případ, že D</w:t>
      </w:r>
      <w:r w:rsidRPr="004417D0">
        <w:t xml:space="preserve">odavatel zprovozní systém před sjednaným dnem a </w:t>
      </w:r>
      <w:r w:rsidR="00D51073">
        <w:t>O</w:t>
      </w:r>
      <w:r w:rsidRPr="004417D0">
        <w:t>dběratel začne systém (předmět nájmu) užívat před 1.</w:t>
      </w:r>
      <w:r w:rsidR="0087311E">
        <w:t xml:space="preserve"> </w:t>
      </w:r>
      <w:r w:rsidRPr="004417D0">
        <w:t>7.</w:t>
      </w:r>
      <w:r w:rsidR="0087311E">
        <w:t xml:space="preserve"> </w:t>
      </w:r>
      <w:r w:rsidRPr="004417D0">
        <w:t>20</w:t>
      </w:r>
      <w:r w:rsidR="00584FA8">
        <w:t>2</w:t>
      </w:r>
      <w:r w:rsidRPr="004417D0">
        <w:t>1,</w:t>
      </w:r>
      <w:r w:rsidR="004417D0" w:rsidRPr="004417D0">
        <w:t xml:space="preserve"> zavazuje se </w:t>
      </w:r>
      <w:r w:rsidR="00D51073">
        <w:t>O</w:t>
      </w:r>
      <w:r w:rsidR="004417D0" w:rsidRPr="004417D0">
        <w:t xml:space="preserve">dběratel uhradit </w:t>
      </w:r>
      <w:r w:rsidR="00D51073">
        <w:t>D</w:t>
      </w:r>
      <w:r w:rsidR="004417D0" w:rsidRPr="004417D0">
        <w:t xml:space="preserve">odavateli částku za skutečně zhotovené tisky/kopie a částku za skutečně odebraný papír, nikoli nájemné. </w:t>
      </w:r>
    </w:p>
    <w:p w14:paraId="2146EDF5" w14:textId="20B3112E" w:rsidR="00BA4C8E" w:rsidRDefault="00BA4C8E" w:rsidP="005F311C">
      <w:pPr>
        <w:numPr>
          <w:ilvl w:val="1"/>
          <w:numId w:val="34"/>
        </w:numPr>
        <w:spacing w:after="120"/>
        <w:jc w:val="both"/>
      </w:pPr>
      <w:r w:rsidRPr="00BA4C8E">
        <w:t>Dodavatel je povinen nejpozději dne 30.</w:t>
      </w:r>
      <w:r w:rsidR="00893821">
        <w:t xml:space="preserve"> </w:t>
      </w:r>
      <w:r w:rsidRPr="00BA4C8E">
        <w:t>6.</w:t>
      </w:r>
      <w:r w:rsidR="00893821">
        <w:t xml:space="preserve"> </w:t>
      </w:r>
      <w:r w:rsidRPr="00BA4C8E">
        <w:t>20</w:t>
      </w:r>
      <w:r w:rsidR="003217CB">
        <w:t>2</w:t>
      </w:r>
      <w:r w:rsidRPr="00BA4C8E">
        <w:t xml:space="preserve">1 protokolárně </w:t>
      </w:r>
      <w:r w:rsidR="00315F6C">
        <w:t>O</w:t>
      </w:r>
      <w:r w:rsidRPr="00BA4C8E">
        <w:t xml:space="preserve">dběrateli předat plně funkční a zprovozněný systém. </w:t>
      </w:r>
    </w:p>
    <w:p w14:paraId="2146EDF6" w14:textId="35DFB008" w:rsidR="00BA4C8E" w:rsidRDefault="00BA4C8E" w:rsidP="004834F0">
      <w:pPr>
        <w:numPr>
          <w:ilvl w:val="1"/>
          <w:numId w:val="34"/>
        </w:numPr>
        <w:spacing w:after="120"/>
        <w:jc w:val="both"/>
      </w:pPr>
      <w:r w:rsidRPr="00BA4C8E">
        <w:t>Odběratel si vyhrazuje právo jednostranným písemným úkonem doručeným Dodavateli alespoň 4 měsíce před zánikem této smlouvy (tj. do 28.</w:t>
      </w:r>
      <w:r w:rsidR="00893821">
        <w:t xml:space="preserve"> </w:t>
      </w:r>
      <w:r w:rsidRPr="00BA4C8E">
        <w:t>2.</w:t>
      </w:r>
      <w:r w:rsidR="00893821">
        <w:t xml:space="preserve"> </w:t>
      </w:r>
      <w:r w:rsidRPr="00BA4C8E">
        <w:t>20</w:t>
      </w:r>
      <w:r w:rsidR="003217CB">
        <w:t>25</w:t>
      </w:r>
      <w:r w:rsidRPr="00BA4C8E">
        <w:t xml:space="preserve">) uplatnit právo na prodloužení této smlouvy, a to o dobu až 2 let. Uplatní-li </w:t>
      </w:r>
      <w:r w:rsidR="00315F6C">
        <w:t>O</w:t>
      </w:r>
      <w:r w:rsidRPr="00BA4C8E">
        <w:t xml:space="preserve">dběratel toto právo (opci) na prodloužení smlouvy, prodlužuje se bez dalšího termín trvání smlouvy o dobu požadovanou </w:t>
      </w:r>
      <w:r w:rsidR="00315F6C">
        <w:t>O</w:t>
      </w:r>
      <w:r w:rsidRPr="00BA4C8E">
        <w:t xml:space="preserve">dběratelem (max. však o 2 roky) okamžikem, kdy takový úkon bude </w:t>
      </w:r>
      <w:r w:rsidRPr="00BA4C8E">
        <w:lastRenderedPageBreak/>
        <w:t xml:space="preserve">doručen Dodavateli. Prodloužením trvání smlouvy nedochází ke změně jiných smluvních podmínek. </w:t>
      </w:r>
    </w:p>
    <w:p w14:paraId="2146EDF7" w14:textId="77777777" w:rsidR="006A5445" w:rsidRPr="00BA4C8E" w:rsidRDefault="006A5445" w:rsidP="004834F0">
      <w:pPr>
        <w:numPr>
          <w:ilvl w:val="1"/>
          <w:numId w:val="34"/>
        </w:numPr>
        <w:spacing w:after="120"/>
        <w:jc w:val="both"/>
      </w:pPr>
      <w:r w:rsidRPr="00BA4C8E">
        <w:t xml:space="preserve">Platnost smlouvy může být ukončena dohodou smluvních stran, nebo písemným odstoupením. Odstoupení od smlouvy musí být učiněno </w:t>
      </w:r>
      <w:r w:rsidRPr="004834F0">
        <w:t xml:space="preserve">písemně, </w:t>
      </w:r>
      <w:r w:rsidRPr="00BA4C8E">
        <w:t>musí být doručeno druhé straně a nabývá účinnosti dnem doručení. Smluvní strany mají právo od smlouvy odstoupit z důvodu závažného porušení smluvních podmínek</w:t>
      </w:r>
      <w:r w:rsidR="00D20C8E" w:rsidRPr="00BA4C8E">
        <w:t xml:space="preserve"> druhou smluvní stranou</w:t>
      </w:r>
      <w:r w:rsidR="00E77061" w:rsidRPr="00BA4C8E">
        <w:t>.</w:t>
      </w:r>
      <w:r w:rsidR="00FC319B">
        <w:br/>
      </w:r>
      <w:r w:rsidRPr="00BA4C8E">
        <w:t>Za závažné porušení smlouvy se považují tyto skutečnosti:</w:t>
      </w:r>
    </w:p>
    <w:p w14:paraId="2146EDF8" w14:textId="77777777" w:rsidR="006A5445" w:rsidRPr="003113EA" w:rsidRDefault="006A5445" w:rsidP="004834F0">
      <w:pPr>
        <w:numPr>
          <w:ilvl w:val="2"/>
          <w:numId w:val="34"/>
        </w:numPr>
        <w:spacing w:after="120"/>
        <w:jc w:val="both"/>
      </w:pPr>
      <w:r w:rsidRPr="003113EA">
        <w:t xml:space="preserve">Dodavatel nebo </w:t>
      </w:r>
      <w:r w:rsidR="00315F6C">
        <w:t>O</w:t>
      </w:r>
      <w:r w:rsidRPr="003113EA">
        <w:t>dběratel nedodrží ustanovení a podmínky smlouvy a neprovede nápravu do 30 (třiceti) pracovních dnů od obdržení písemného vyrozumění od druhé strany, která upozorní na nedodržení ustanovení smlouvy.</w:t>
      </w:r>
    </w:p>
    <w:p w14:paraId="2146EDF9" w14:textId="77777777" w:rsidR="006A5445" w:rsidRPr="003113EA" w:rsidRDefault="006A5445" w:rsidP="004834F0">
      <w:pPr>
        <w:numPr>
          <w:ilvl w:val="2"/>
          <w:numId w:val="34"/>
        </w:numPr>
        <w:spacing w:after="120"/>
        <w:jc w:val="both"/>
      </w:pPr>
      <w:r w:rsidRPr="003113EA">
        <w:t xml:space="preserve">Dodavatel nebo </w:t>
      </w:r>
      <w:r w:rsidR="00315F6C">
        <w:t>O</w:t>
      </w:r>
      <w:r w:rsidRPr="003113EA">
        <w:t xml:space="preserve">dběratel se stane insolventním, ohlásí úpadek nebo je proti němu podán návrh na prohlášení </w:t>
      </w:r>
      <w:r w:rsidR="005A6CE2" w:rsidRPr="003113EA">
        <w:t>úpadku</w:t>
      </w:r>
      <w:r w:rsidRPr="003113EA">
        <w:t xml:space="preserve">. </w:t>
      </w:r>
    </w:p>
    <w:p w14:paraId="2146EDFA" w14:textId="77777777" w:rsidR="00D92635" w:rsidRDefault="00D92635" w:rsidP="00D92635">
      <w:pPr>
        <w:pStyle w:val="Zkladntext2"/>
        <w:jc w:val="both"/>
        <w:rPr>
          <w:rFonts w:ascii="Times New Roman" w:hAnsi="Times New Roman"/>
          <w:sz w:val="24"/>
        </w:rPr>
      </w:pPr>
    </w:p>
    <w:p w14:paraId="2146EDFB" w14:textId="77777777" w:rsidR="00D92635" w:rsidRPr="00D92635" w:rsidRDefault="00D92635" w:rsidP="004834F0">
      <w:pPr>
        <w:numPr>
          <w:ilvl w:val="1"/>
          <w:numId w:val="34"/>
        </w:numPr>
        <w:spacing w:after="120"/>
        <w:jc w:val="both"/>
      </w:pPr>
      <w:r w:rsidRPr="00D92635">
        <w:t xml:space="preserve">Místem plnění smlouvy jsou tyto provozovny Plzeňských městských dopravních podniků, a.s., </w:t>
      </w:r>
    </w:p>
    <w:p w14:paraId="2146EDFC" w14:textId="547116EA" w:rsidR="00D92635" w:rsidRPr="004834F0" w:rsidRDefault="00D92635" w:rsidP="004834F0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 w:rsidR="009E1641">
        <w:t>–</w:t>
      </w:r>
      <w:r w:rsidRPr="004834F0">
        <w:t xml:space="preserve"> Denisovo nábřeží 920/12, Plzeň</w:t>
      </w:r>
    </w:p>
    <w:p w14:paraId="2146EDFD" w14:textId="44AE5EFE" w:rsidR="00D92635" w:rsidRPr="004834F0" w:rsidRDefault="00D92635" w:rsidP="004834F0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 w:rsidR="009E1641">
        <w:t>–</w:t>
      </w:r>
      <w:r w:rsidRPr="004834F0">
        <w:t xml:space="preserve"> Slovanská alej 35/2137, Plzeň</w:t>
      </w:r>
    </w:p>
    <w:p w14:paraId="2146EDFE" w14:textId="4DEC9DE9" w:rsidR="00D92635" w:rsidRPr="004834F0" w:rsidRDefault="00D92635" w:rsidP="004834F0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 w:rsidR="00C22007">
        <w:t>–</w:t>
      </w:r>
      <w:r w:rsidRPr="004834F0">
        <w:t xml:space="preserve"> </w:t>
      </w:r>
      <w:r w:rsidR="00C22007">
        <w:t xml:space="preserve">Tylova </w:t>
      </w:r>
      <w:r w:rsidRPr="004834F0">
        <w:t>12, Plzeň</w:t>
      </w:r>
    </w:p>
    <w:p w14:paraId="2146EDFF" w14:textId="6E01E30A" w:rsidR="00D92635" w:rsidRDefault="00D92635" w:rsidP="004834F0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 w:rsidR="009E1641">
        <w:t>–</w:t>
      </w:r>
      <w:r w:rsidRPr="004834F0">
        <w:t xml:space="preserve"> TZ Borská 2964, Plzeň</w:t>
      </w:r>
    </w:p>
    <w:p w14:paraId="54B981D6" w14:textId="25189D7A" w:rsidR="0043308F" w:rsidRDefault="0043308F" w:rsidP="004834F0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>
        <w:t>–</w:t>
      </w:r>
      <w:r w:rsidRPr="004834F0">
        <w:t xml:space="preserve"> </w:t>
      </w:r>
      <w:r>
        <w:t xml:space="preserve">Klatovská </w:t>
      </w:r>
      <w:r w:rsidR="009E1641">
        <w:t>třída 455/12</w:t>
      </w:r>
      <w:r w:rsidRPr="004834F0">
        <w:t>, Plzeň</w:t>
      </w:r>
    </w:p>
    <w:p w14:paraId="423E25C6" w14:textId="43786117" w:rsidR="009E1641" w:rsidRDefault="009E1641" w:rsidP="009E1641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>
        <w:t>–</w:t>
      </w:r>
      <w:r w:rsidRPr="004834F0">
        <w:t xml:space="preserve"> </w:t>
      </w:r>
      <w:r w:rsidRPr="009E1641">
        <w:t>Podmostní 2399/4</w:t>
      </w:r>
      <w:r w:rsidRPr="004834F0">
        <w:t>, Plzeň</w:t>
      </w:r>
    </w:p>
    <w:p w14:paraId="1CCC8672" w14:textId="51DA6581" w:rsidR="009E1641" w:rsidRDefault="009E1641" w:rsidP="009E1641">
      <w:pPr>
        <w:numPr>
          <w:ilvl w:val="2"/>
          <w:numId w:val="34"/>
        </w:numPr>
        <w:spacing w:after="120"/>
        <w:jc w:val="both"/>
      </w:pPr>
      <w:r w:rsidRPr="00D92635">
        <w:t xml:space="preserve">Plzeňské městské dopravní podniky, a. s. </w:t>
      </w:r>
      <w:r>
        <w:t>–</w:t>
      </w:r>
      <w:r w:rsidRPr="004834F0">
        <w:t xml:space="preserve"> </w:t>
      </w:r>
      <w:r w:rsidRPr="009E1641">
        <w:t>Truhlářská 2755/5</w:t>
      </w:r>
      <w:r w:rsidRPr="004834F0">
        <w:t>, Plzeň</w:t>
      </w:r>
    </w:p>
    <w:p w14:paraId="65567866" w14:textId="7450C8C3" w:rsidR="009E1641" w:rsidRPr="004834F0" w:rsidRDefault="009E1641" w:rsidP="004834F0">
      <w:pPr>
        <w:numPr>
          <w:ilvl w:val="2"/>
          <w:numId w:val="34"/>
        </w:numPr>
        <w:spacing w:after="120"/>
        <w:jc w:val="both"/>
      </w:pPr>
      <w:r>
        <w:t>případné další provozovny PMDP, a.s. na území statutárního města Plzeň</w:t>
      </w:r>
    </w:p>
    <w:p w14:paraId="2146EE02" w14:textId="77777777" w:rsidR="004834F0" w:rsidRPr="003113EA" w:rsidRDefault="004834F0" w:rsidP="004834F0">
      <w:pPr>
        <w:spacing w:after="120"/>
        <w:jc w:val="both"/>
        <w:rPr>
          <w:b/>
        </w:rPr>
      </w:pPr>
    </w:p>
    <w:p w14:paraId="2146EE03" w14:textId="77777777" w:rsidR="006A5445" w:rsidRPr="00531219" w:rsidRDefault="006A5445" w:rsidP="00531219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E04" w14:textId="77777777" w:rsidR="006A5445" w:rsidRDefault="006A5445" w:rsidP="00D92635">
      <w:pPr>
        <w:pStyle w:val="Zkladntext2"/>
        <w:jc w:val="center"/>
        <w:rPr>
          <w:rFonts w:ascii="Times New Roman" w:hAnsi="Times New Roman"/>
          <w:b/>
          <w:sz w:val="24"/>
        </w:rPr>
      </w:pPr>
      <w:r w:rsidRPr="003113EA">
        <w:rPr>
          <w:rFonts w:ascii="Times New Roman" w:hAnsi="Times New Roman"/>
          <w:b/>
          <w:sz w:val="24"/>
        </w:rPr>
        <w:t>Ceny a platební podmínky</w:t>
      </w:r>
    </w:p>
    <w:p w14:paraId="2146EE05" w14:textId="77777777" w:rsidR="00D92635" w:rsidRPr="003113EA" w:rsidRDefault="00D92635" w:rsidP="00D92635">
      <w:pPr>
        <w:pStyle w:val="Zkladntext2"/>
        <w:jc w:val="center"/>
        <w:rPr>
          <w:rFonts w:ascii="Times New Roman" w:hAnsi="Times New Roman"/>
          <w:sz w:val="24"/>
        </w:rPr>
      </w:pPr>
    </w:p>
    <w:p w14:paraId="2146EE06" w14:textId="77777777" w:rsidR="00D92635" w:rsidRDefault="006A5445" w:rsidP="00531219">
      <w:pPr>
        <w:numPr>
          <w:ilvl w:val="1"/>
          <w:numId w:val="34"/>
        </w:numPr>
        <w:spacing w:after="120"/>
        <w:jc w:val="both"/>
      </w:pPr>
      <w:r w:rsidRPr="00D92635">
        <w:t xml:space="preserve">Ceny </w:t>
      </w:r>
      <w:r w:rsidR="00D92635">
        <w:t xml:space="preserve">bez DPH </w:t>
      </w:r>
      <w:r w:rsidRPr="00D92635">
        <w:t>za nájem zařízení</w:t>
      </w:r>
      <w:r w:rsidR="00020B02">
        <w:t>,</w:t>
      </w:r>
      <w:r w:rsidR="004417D0">
        <w:t xml:space="preserve"> </w:t>
      </w:r>
      <w:r w:rsidRPr="00D92635">
        <w:t>služby</w:t>
      </w:r>
      <w:r w:rsidR="004417D0">
        <w:t xml:space="preserve"> </w:t>
      </w:r>
      <w:r w:rsidR="00020B02">
        <w:t>a typové označení zařízení</w:t>
      </w:r>
      <w:r w:rsidR="00D92635" w:rsidRPr="00D92635">
        <w:t>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467"/>
        <w:gridCol w:w="1674"/>
        <w:gridCol w:w="1318"/>
        <w:gridCol w:w="1444"/>
        <w:gridCol w:w="1444"/>
      </w:tblGrid>
      <w:tr w:rsidR="00C60050" w:rsidRPr="004766D5" w14:paraId="04C688B6" w14:textId="77777777" w:rsidTr="009E1641">
        <w:tc>
          <w:tcPr>
            <w:tcW w:w="2467" w:type="dxa"/>
            <w:shd w:val="clear" w:color="auto" w:fill="D9D9D9" w:themeFill="background1" w:themeFillShade="D9"/>
          </w:tcPr>
          <w:p w14:paraId="3AB61CF2" w14:textId="77777777" w:rsidR="00C60050" w:rsidRPr="006C2D90" w:rsidRDefault="00C60050" w:rsidP="006C2D90">
            <w:pPr>
              <w:pStyle w:val="Zkladntext2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6C2D90">
              <w:rPr>
                <w:rFonts w:ascii="Times New Roman" w:eastAsia="Times New Roman" w:hAnsi="Times New Roman" w:cs="Times New Roman"/>
                <w:sz w:val="24"/>
                <w:lang w:eastAsia="cs-CZ"/>
              </w:rPr>
              <w:t>Typové označení zařízení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78131B3" w14:textId="77777777" w:rsidR="00C60050" w:rsidRPr="006C2D90" w:rsidRDefault="00C60050" w:rsidP="006C2D90">
            <w:pPr>
              <w:pStyle w:val="Zkladntext2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6C2D90">
              <w:rPr>
                <w:rFonts w:ascii="Times New Roman" w:eastAsia="Times New Roman" w:hAnsi="Times New Roman" w:cs="Times New Roman"/>
                <w:sz w:val="24"/>
                <w:lang w:eastAsia="cs-CZ"/>
              </w:rPr>
              <w:t>Paušál za 1 ks zařízení za měsíc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25C8C4D" w14:textId="19ADE615" w:rsidR="00C60050" w:rsidRPr="006C2D90" w:rsidRDefault="00C60050" w:rsidP="00DA3AFB">
            <w:pPr>
              <w:pStyle w:val="Zkladntext2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6C2D90">
              <w:rPr>
                <w:rFonts w:ascii="Times New Roman" w:eastAsia="Times New Roman" w:hAnsi="Times New Roman" w:cs="Times New Roman"/>
                <w:sz w:val="24"/>
                <w:lang w:eastAsia="cs-CZ"/>
              </w:rPr>
              <w:t>Cena za 1 tisk/kopii A4 ČB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37F2B95" w14:textId="77777777" w:rsidR="00C60050" w:rsidRPr="006C2D90" w:rsidRDefault="00C60050" w:rsidP="006C2D90">
            <w:pPr>
              <w:pStyle w:val="Zkladntext2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6C2D90">
              <w:rPr>
                <w:rFonts w:ascii="Times New Roman" w:eastAsia="Times New Roman" w:hAnsi="Times New Roman" w:cs="Times New Roman"/>
                <w:sz w:val="24"/>
                <w:lang w:eastAsia="cs-CZ"/>
              </w:rPr>
              <w:t>Cena za 1 tisk/kopii A4 Color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60B7C327" w14:textId="77777777" w:rsidR="00C60050" w:rsidRPr="006C2D90" w:rsidRDefault="00C60050" w:rsidP="006C2D90">
            <w:pPr>
              <w:pStyle w:val="Zkladntext2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6C2D90">
              <w:rPr>
                <w:rFonts w:ascii="Times New Roman" w:eastAsia="Times New Roman" w:hAnsi="Times New Roman" w:cs="Times New Roman"/>
                <w:sz w:val="24"/>
                <w:lang w:eastAsia="cs-CZ"/>
              </w:rPr>
              <w:t>Cena za 1 ks papíru A4</w:t>
            </w:r>
          </w:p>
        </w:tc>
      </w:tr>
      <w:tr w:rsidR="00C60050" w:rsidRPr="001F69F8" w14:paraId="25CFDFF1" w14:textId="77777777" w:rsidTr="009E1641">
        <w:trPr>
          <w:trHeight w:val="877"/>
        </w:trPr>
        <w:tc>
          <w:tcPr>
            <w:tcW w:w="2467" w:type="dxa"/>
          </w:tcPr>
          <w:p w14:paraId="4F7763EA" w14:textId="77777777" w:rsidR="00C60050" w:rsidRPr="001F69F8" w:rsidRDefault="00C60050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F69F8">
              <w:rPr>
                <w:rFonts w:ascii="Times New Roman" w:hAnsi="Times New Roman" w:cs="Times New Roman"/>
              </w:rPr>
              <w:t>MFP - kategorie I.</w:t>
            </w:r>
          </w:p>
          <w:p w14:paraId="3240F1E2" w14:textId="632A3409" w:rsidR="00C60050" w:rsidRPr="001F69F8" w:rsidRDefault="00584FA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674" w:type="dxa"/>
          </w:tcPr>
          <w:p w14:paraId="1E4699DB" w14:textId="3452E399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318" w:type="dxa"/>
          </w:tcPr>
          <w:p w14:paraId="4C3F1453" w14:textId="0DB7A503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2AFB9107" w14:textId="77777777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14:paraId="0FF785AC" w14:textId="0FECA414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  <w:tr w:rsidR="00C60050" w:rsidRPr="001F69F8" w14:paraId="749023E8" w14:textId="77777777" w:rsidTr="009E1641">
        <w:tc>
          <w:tcPr>
            <w:tcW w:w="2467" w:type="dxa"/>
          </w:tcPr>
          <w:p w14:paraId="32CEECD4" w14:textId="77777777" w:rsidR="00C60050" w:rsidRPr="001F69F8" w:rsidRDefault="00C60050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F69F8">
              <w:rPr>
                <w:rFonts w:ascii="Times New Roman" w:hAnsi="Times New Roman" w:cs="Times New Roman"/>
              </w:rPr>
              <w:t>MFP - kategorie II.</w:t>
            </w:r>
          </w:p>
          <w:p w14:paraId="47605768" w14:textId="0C62928A" w:rsidR="00C60050" w:rsidRPr="001F69F8" w:rsidRDefault="00584FA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674" w:type="dxa"/>
          </w:tcPr>
          <w:p w14:paraId="434D8ADA" w14:textId="34AC737E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318" w:type="dxa"/>
          </w:tcPr>
          <w:p w14:paraId="4A85E584" w14:textId="648A1C59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0DC2E00F" w14:textId="77777777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14:paraId="081A5088" w14:textId="47D5317D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  <w:tr w:rsidR="00C60050" w:rsidRPr="001F69F8" w14:paraId="26C93BAA" w14:textId="77777777" w:rsidTr="009E1641">
        <w:tc>
          <w:tcPr>
            <w:tcW w:w="2467" w:type="dxa"/>
          </w:tcPr>
          <w:p w14:paraId="58BE6574" w14:textId="77777777" w:rsidR="00C60050" w:rsidRPr="001F69F8" w:rsidRDefault="00C60050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F69F8">
              <w:rPr>
                <w:rFonts w:ascii="Times New Roman" w:hAnsi="Times New Roman" w:cs="Times New Roman"/>
              </w:rPr>
              <w:t>MFP - kategorie III.</w:t>
            </w:r>
          </w:p>
          <w:p w14:paraId="1B46FBD1" w14:textId="5B7806AE" w:rsidR="00C60050" w:rsidRPr="001F69F8" w:rsidRDefault="00584FA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674" w:type="dxa"/>
          </w:tcPr>
          <w:p w14:paraId="1E34D34D" w14:textId="79266285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318" w:type="dxa"/>
          </w:tcPr>
          <w:p w14:paraId="33DB57AE" w14:textId="567101D8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00BF6CEE" w14:textId="470CF1EE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4AC29B36" w14:textId="749F43B7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  <w:tr w:rsidR="00C60050" w:rsidRPr="001F69F8" w14:paraId="3B8E523A" w14:textId="77777777" w:rsidTr="009E1641">
        <w:tc>
          <w:tcPr>
            <w:tcW w:w="2467" w:type="dxa"/>
          </w:tcPr>
          <w:p w14:paraId="1102ADEB" w14:textId="77777777" w:rsidR="00C60050" w:rsidRPr="001F69F8" w:rsidRDefault="00C60050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F69F8">
              <w:rPr>
                <w:rFonts w:ascii="Times New Roman" w:hAnsi="Times New Roman" w:cs="Times New Roman"/>
              </w:rPr>
              <w:t xml:space="preserve">Tiskárna - kategorie IV. </w:t>
            </w:r>
          </w:p>
          <w:p w14:paraId="2ED6DCF3" w14:textId="5D0F4F20" w:rsidR="00C60050" w:rsidRPr="001F69F8" w:rsidRDefault="00584FA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674" w:type="dxa"/>
          </w:tcPr>
          <w:p w14:paraId="551718A0" w14:textId="236AB7B6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318" w:type="dxa"/>
          </w:tcPr>
          <w:p w14:paraId="32905679" w14:textId="281625BF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66522EB4" w14:textId="77777777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14:paraId="79D6ABEB" w14:textId="7B83C587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  <w:tr w:rsidR="00C60050" w:rsidRPr="001F69F8" w14:paraId="775F16F2" w14:textId="77777777" w:rsidTr="009E1641">
        <w:tc>
          <w:tcPr>
            <w:tcW w:w="2467" w:type="dxa"/>
          </w:tcPr>
          <w:p w14:paraId="5DF55EA6" w14:textId="7B60156D" w:rsidR="00C60050" w:rsidRDefault="009E1641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MFP</w:t>
            </w:r>
            <w:r w:rsidRPr="001F69F8">
              <w:rPr>
                <w:rFonts w:ascii="Times New Roman" w:hAnsi="Times New Roman" w:cs="Times New Roman"/>
              </w:rPr>
              <w:t xml:space="preserve"> </w:t>
            </w:r>
            <w:r w:rsidR="00C60050" w:rsidRPr="001F69F8">
              <w:rPr>
                <w:rFonts w:ascii="Times New Roman" w:hAnsi="Times New Roman" w:cs="Times New Roman"/>
              </w:rPr>
              <w:t>- kategorie V.</w:t>
            </w:r>
          </w:p>
          <w:p w14:paraId="293CEF81" w14:textId="0B09C333" w:rsidR="00C60050" w:rsidRPr="001F69F8" w:rsidRDefault="00584FA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674" w:type="dxa"/>
          </w:tcPr>
          <w:p w14:paraId="21BD029B" w14:textId="78E5227D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318" w:type="dxa"/>
          </w:tcPr>
          <w:p w14:paraId="6B19A682" w14:textId="45023FED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5215BDE4" w14:textId="69B723F1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2722A6A0" w14:textId="61C58C05" w:rsidR="00C60050" w:rsidRPr="007B11AF" w:rsidRDefault="00C60050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  <w:tr w:rsidR="009E1641" w:rsidRPr="001F69F8" w14:paraId="2C3E2734" w14:textId="77777777" w:rsidTr="009E1641">
        <w:tc>
          <w:tcPr>
            <w:tcW w:w="2467" w:type="dxa"/>
          </w:tcPr>
          <w:p w14:paraId="58E3A139" w14:textId="77777777" w:rsidR="009E1641" w:rsidRDefault="009E1641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MFP</w:t>
            </w:r>
            <w:r w:rsidRPr="001F69F8">
              <w:rPr>
                <w:rFonts w:ascii="Times New Roman" w:hAnsi="Times New Roman" w:cs="Times New Roman"/>
              </w:rPr>
              <w:t xml:space="preserve"> - kategorie V</w:t>
            </w:r>
            <w:r>
              <w:rPr>
                <w:rFonts w:ascii="Times New Roman" w:hAnsi="Times New Roman" w:cs="Times New Roman"/>
              </w:rPr>
              <w:t>I</w:t>
            </w:r>
            <w:r w:rsidRPr="001F69F8">
              <w:rPr>
                <w:rFonts w:ascii="Times New Roman" w:hAnsi="Times New Roman" w:cs="Times New Roman"/>
              </w:rPr>
              <w:t>.</w:t>
            </w:r>
          </w:p>
          <w:p w14:paraId="2FACF780" w14:textId="6A76AEE7" w:rsidR="009E1641" w:rsidRPr="001F69F8" w:rsidRDefault="00584FA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674" w:type="dxa"/>
          </w:tcPr>
          <w:p w14:paraId="199FC3A4" w14:textId="77777777" w:rsidR="009E1641" w:rsidRPr="007B11AF" w:rsidRDefault="009E1641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318" w:type="dxa"/>
          </w:tcPr>
          <w:p w14:paraId="212131C3" w14:textId="77777777" w:rsidR="009E1641" w:rsidRPr="007B11AF" w:rsidRDefault="009E1641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117ECEC0" w14:textId="77777777" w:rsidR="009E1641" w:rsidRPr="007B11AF" w:rsidRDefault="009E1641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1444" w:type="dxa"/>
          </w:tcPr>
          <w:p w14:paraId="48CE451C" w14:textId="728F8F05" w:rsidR="009E1641" w:rsidRPr="007B11AF" w:rsidRDefault="009E1641" w:rsidP="00471B00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</w:tbl>
    <w:p w14:paraId="2146EE2C" w14:textId="536FF60D" w:rsidR="00D92635" w:rsidRDefault="00D92635" w:rsidP="00D92635">
      <w:pPr>
        <w:pStyle w:val="Zkladntext2"/>
        <w:ind w:left="720"/>
        <w:jc w:val="both"/>
        <w:rPr>
          <w:rFonts w:ascii="Times New Roman" w:hAnsi="Times New Roman"/>
          <w:sz w:val="24"/>
        </w:rPr>
      </w:pPr>
    </w:p>
    <w:p w14:paraId="093F35BB" w14:textId="77777777" w:rsidR="004F26F2" w:rsidRDefault="004F26F2" w:rsidP="00D92635">
      <w:pPr>
        <w:pStyle w:val="Zkladntext2"/>
        <w:ind w:left="720"/>
        <w:jc w:val="both"/>
        <w:rPr>
          <w:rFonts w:ascii="Times New Roman" w:hAnsi="Times New Roman"/>
          <w:sz w:val="24"/>
        </w:rPr>
      </w:pPr>
    </w:p>
    <w:p w14:paraId="2146EE2D" w14:textId="77777777" w:rsidR="00E762A6" w:rsidRDefault="00E762A6" w:rsidP="00531219">
      <w:pPr>
        <w:numPr>
          <w:ilvl w:val="1"/>
          <w:numId w:val="34"/>
        </w:numPr>
        <w:spacing w:after="120"/>
        <w:jc w:val="both"/>
      </w:pPr>
      <w:r w:rsidRPr="00D92635">
        <w:t xml:space="preserve">Ceny </w:t>
      </w:r>
      <w:r>
        <w:t xml:space="preserve">bez DPH </w:t>
      </w:r>
      <w:r w:rsidRPr="00D92635">
        <w:t xml:space="preserve">za nájem </w:t>
      </w:r>
      <w:r>
        <w:t>finišerů</w:t>
      </w:r>
      <w:r w:rsidRPr="00D92635">
        <w:t>:</w:t>
      </w:r>
    </w:p>
    <w:p w14:paraId="2146EE2E" w14:textId="77777777" w:rsidR="00E762A6" w:rsidRPr="00D92635" w:rsidRDefault="00E762A6" w:rsidP="00E762A6">
      <w:pPr>
        <w:pStyle w:val="Zkladntext2"/>
        <w:ind w:left="741"/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8353" w:type="dxa"/>
        <w:tblInd w:w="709" w:type="dxa"/>
        <w:tblLook w:val="04A0" w:firstRow="1" w:lastRow="0" w:firstColumn="1" w:lastColumn="0" w:noHBand="0" w:noVBand="1"/>
      </w:tblPr>
      <w:tblGrid>
        <w:gridCol w:w="4184"/>
        <w:gridCol w:w="4169"/>
      </w:tblGrid>
      <w:tr w:rsidR="00744768" w14:paraId="3E62DE6C" w14:textId="77777777" w:rsidTr="00744768">
        <w:tc>
          <w:tcPr>
            <w:tcW w:w="4184" w:type="dxa"/>
            <w:shd w:val="clear" w:color="auto" w:fill="D9D9D9" w:themeFill="background1" w:themeFillShade="D9"/>
          </w:tcPr>
          <w:p w14:paraId="4945250A" w14:textId="77777777" w:rsidR="00744768" w:rsidRPr="004766D5" w:rsidRDefault="0074476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4766D5">
              <w:rPr>
                <w:rFonts w:ascii="Times New Roman" w:hAnsi="Times New Roman" w:cs="Times New Roman"/>
                <w:i/>
              </w:rPr>
              <w:t>Typové označení finišerů</w:t>
            </w:r>
          </w:p>
        </w:tc>
        <w:tc>
          <w:tcPr>
            <w:tcW w:w="4169" w:type="dxa"/>
            <w:shd w:val="clear" w:color="auto" w:fill="D9D9D9" w:themeFill="background1" w:themeFillShade="D9"/>
          </w:tcPr>
          <w:p w14:paraId="7CAAC560" w14:textId="77777777" w:rsidR="00744768" w:rsidRDefault="0074476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Paušál za 1 ks finišeru za měsíc</w:t>
            </w:r>
          </w:p>
        </w:tc>
      </w:tr>
      <w:tr w:rsidR="00744768" w14:paraId="1CADE953" w14:textId="77777777" w:rsidTr="00744768">
        <w:tc>
          <w:tcPr>
            <w:tcW w:w="4184" w:type="dxa"/>
          </w:tcPr>
          <w:p w14:paraId="71FBBA76" w14:textId="0BB4F3C9" w:rsidR="00744768" w:rsidRPr="004766D5" w:rsidRDefault="00584FA8" w:rsidP="00744768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  <w:tc>
          <w:tcPr>
            <w:tcW w:w="4169" w:type="dxa"/>
          </w:tcPr>
          <w:p w14:paraId="612D29EA" w14:textId="6C092A7F" w:rsidR="00744768" w:rsidRDefault="00744768" w:rsidP="00744768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  <w:i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</w:tbl>
    <w:p w14:paraId="2146EE35" w14:textId="77777777" w:rsidR="003A5F77" w:rsidRDefault="003A5F77" w:rsidP="00D92635">
      <w:pPr>
        <w:pStyle w:val="Zkladntext2"/>
        <w:ind w:left="720"/>
        <w:jc w:val="both"/>
        <w:rPr>
          <w:rFonts w:ascii="Times New Roman" w:hAnsi="Times New Roman"/>
          <w:sz w:val="24"/>
        </w:rPr>
      </w:pPr>
    </w:p>
    <w:p w14:paraId="2146EE36" w14:textId="77777777" w:rsidR="00D92635" w:rsidRDefault="00D92635" w:rsidP="00531219">
      <w:pPr>
        <w:numPr>
          <w:ilvl w:val="1"/>
          <w:numId w:val="34"/>
        </w:numPr>
        <w:spacing w:after="120"/>
        <w:jc w:val="both"/>
      </w:pPr>
      <w:r w:rsidRPr="00D92635">
        <w:t xml:space="preserve">Cena </w:t>
      </w:r>
      <w:r>
        <w:t xml:space="preserve">bez DPH </w:t>
      </w:r>
      <w:r w:rsidRPr="00D92635">
        <w:t>za nájem systému</w:t>
      </w:r>
      <w:r>
        <w:t xml:space="preserve"> pro správu </w:t>
      </w:r>
      <w:r w:rsidR="003A5F77">
        <w:t xml:space="preserve">a řízení </w:t>
      </w:r>
      <w:r w:rsidR="00D16703">
        <w:t>tisků</w:t>
      </w:r>
      <w:r>
        <w:t>:</w:t>
      </w:r>
    </w:p>
    <w:p w14:paraId="2146EE37" w14:textId="77777777" w:rsidR="00D92635" w:rsidRPr="00D92635" w:rsidRDefault="00D92635" w:rsidP="00D92635">
      <w:pPr>
        <w:pStyle w:val="Zkladntext2"/>
        <w:ind w:left="720"/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8353" w:type="dxa"/>
        <w:tblInd w:w="709" w:type="dxa"/>
        <w:tblLook w:val="04A0" w:firstRow="1" w:lastRow="0" w:firstColumn="1" w:lastColumn="0" w:noHBand="0" w:noVBand="1"/>
      </w:tblPr>
      <w:tblGrid>
        <w:gridCol w:w="4167"/>
        <w:gridCol w:w="4186"/>
      </w:tblGrid>
      <w:tr w:rsidR="00744768" w14:paraId="264ECAB7" w14:textId="77777777" w:rsidTr="00744768">
        <w:tc>
          <w:tcPr>
            <w:tcW w:w="4167" w:type="dxa"/>
            <w:shd w:val="clear" w:color="auto" w:fill="D9D9D9" w:themeFill="background1" w:themeFillShade="D9"/>
          </w:tcPr>
          <w:p w14:paraId="1B6756D8" w14:textId="77777777" w:rsidR="00744768" w:rsidRDefault="0074476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shd w:val="clear" w:color="auto" w:fill="D9D9D9" w:themeFill="background1" w:themeFillShade="D9"/>
          </w:tcPr>
          <w:p w14:paraId="667B6140" w14:textId="77777777" w:rsidR="00744768" w:rsidRDefault="00744768" w:rsidP="00471B00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Měsíční paušální nájemné systému</w:t>
            </w:r>
          </w:p>
        </w:tc>
      </w:tr>
      <w:tr w:rsidR="00744768" w14:paraId="0A8D4782" w14:textId="77777777" w:rsidTr="00744768">
        <w:tc>
          <w:tcPr>
            <w:tcW w:w="4167" w:type="dxa"/>
          </w:tcPr>
          <w:p w14:paraId="37C388A0" w14:textId="77777777" w:rsidR="00744768" w:rsidRDefault="00744768" w:rsidP="00744768">
            <w:pPr>
              <w:widowControl w:val="0"/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Systém správy a řízení tisků</w:t>
            </w:r>
          </w:p>
        </w:tc>
        <w:tc>
          <w:tcPr>
            <w:tcW w:w="4186" w:type="dxa"/>
          </w:tcPr>
          <w:p w14:paraId="635D3A2A" w14:textId="0CF7EDA1" w:rsidR="00744768" w:rsidRDefault="00744768" w:rsidP="00744768">
            <w:pPr>
              <w:widowControl w:val="0"/>
              <w:suppressAutoHyphens/>
              <w:spacing w:before="60" w:after="60"/>
              <w:jc w:val="right"/>
              <w:rPr>
                <w:rFonts w:ascii="Times New Roman" w:hAnsi="Times New Roman" w:cs="Times New Roman"/>
                <w:i/>
              </w:rPr>
            </w:pPr>
            <w:r w:rsidRPr="007B11AF">
              <w:rPr>
                <w:rFonts w:ascii="Times New Roman" w:hAnsi="Times New Roman" w:cs="Times New Roman"/>
                <w:color w:val="FF0000"/>
              </w:rPr>
              <w:t>{Doplní Dodavatel}</w:t>
            </w:r>
          </w:p>
        </w:tc>
      </w:tr>
    </w:tbl>
    <w:p w14:paraId="2146EE3F" w14:textId="77777777" w:rsidR="00D92635" w:rsidRDefault="00D92635" w:rsidP="00D92635">
      <w:pPr>
        <w:pStyle w:val="Zkladntext2"/>
        <w:ind w:left="741"/>
        <w:jc w:val="both"/>
        <w:rPr>
          <w:rFonts w:ascii="Times New Roman" w:hAnsi="Times New Roman"/>
          <w:sz w:val="24"/>
        </w:rPr>
      </w:pPr>
    </w:p>
    <w:p w14:paraId="2146EE40" w14:textId="1C85CE91" w:rsidR="000F22DD" w:rsidRDefault="0056310F" w:rsidP="003200E4">
      <w:pPr>
        <w:numPr>
          <w:ilvl w:val="1"/>
          <w:numId w:val="34"/>
        </w:numPr>
        <w:spacing w:after="120"/>
        <w:jc w:val="both"/>
      </w:pPr>
      <w:r w:rsidRPr="003113EA">
        <w:t>C</w:t>
      </w:r>
      <w:r w:rsidR="006A5445" w:rsidRPr="003113EA">
        <w:t xml:space="preserve">eny za plnění předmětu smlouvy </w:t>
      </w:r>
      <w:r w:rsidR="00D92635">
        <w:t xml:space="preserve">dle odst. </w:t>
      </w:r>
      <w:r w:rsidR="00C9338B">
        <w:t xml:space="preserve">5.0, </w:t>
      </w:r>
      <w:r w:rsidR="00D92635">
        <w:t>5.1</w:t>
      </w:r>
      <w:r w:rsidR="00C9338B">
        <w:t xml:space="preserve"> a</w:t>
      </w:r>
      <w:r w:rsidR="004417D0">
        <w:t xml:space="preserve"> </w:t>
      </w:r>
      <w:r w:rsidR="00D92635">
        <w:t>5.2</w:t>
      </w:r>
      <w:r w:rsidR="005B4282">
        <w:t xml:space="preserve"> </w:t>
      </w:r>
      <w:r w:rsidR="006A5445" w:rsidRPr="003113EA">
        <w:t xml:space="preserve">jsou </w:t>
      </w:r>
      <w:r w:rsidR="000F22DD">
        <w:t>ceny konečné a zahrnují veškeré náklady Dodavatele včetně c</w:t>
      </w:r>
      <w:r w:rsidR="000F22DD" w:rsidRPr="00273632">
        <w:t>eny za dopravu zařízení, instalace</w:t>
      </w:r>
      <w:r w:rsidR="004026E5">
        <w:t xml:space="preserve">, </w:t>
      </w:r>
      <w:r w:rsidR="00594D5B">
        <w:t>odinstalace a</w:t>
      </w:r>
      <w:r w:rsidR="00594D5B" w:rsidRPr="00273632">
        <w:t xml:space="preserve"> </w:t>
      </w:r>
      <w:r w:rsidR="000F22DD" w:rsidRPr="00273632">
        <w:t xml:space="preserve">proškolení </w:t>
      </w:r>
      <w:r w:rsidR="004026E5">
        <w:t xml:space="preserve">určených pracovníků </w:t>
      </w:r>
      <w:r w:rsidR="00315F6C">
        <w:t>O</w:t>
      </w:r>
      <w:r w:rsidR="000F22DD" w:rsidRPr="00273632">
        <w:t>dběratele</w:t>
      </w:r>
      <w:r w:rsidR="000F22DD">
        <w:t xml:space="preserve">. </w:t>
      </w:r>
    </w:p>
    <w:p w14:paraId="2146EE41" w14:textId="77777777" w:rsidR="00B80C50" w:rsidRDefault="000F22DD" w:rsidP="003200E4">
      <w:pPr>
        <w:numPr>
          <w:ilvl w:val="1"/>
          <w:numId w:val="34"/>
        </w:numPr>
        <w:spacing w:after="120"/>
        <w:jc w:val="both"/>
      </w:pPr>
      <w:r>
        <w:t>K ceně bez DPH bude připočtena DPH dle platné legislativy v době plnění.</w:t>
      </w:r>
      <w:r w:rsidR="006A5445" w:rsidRPr="003113EA">
        <w:t xml:space="preserve"> </w:t>
      </w:r>
    </w:p>
    <w:p w14:paraId="2146EE42" w14:textId="77777777" w:rsidR="00C7606C" w:rsidRDefault="00C7606C" w:rsidP="003200E4">
      <w:pPr>
        <w:numPr>
          <w:ilvl w:val="1"/>
          <w:numId w:val="34"/>
        </w:numPr>
        <w:spacing w:after="120"/>
        <w:jc w:val="both"/>
      </w:pPr>
      <w:r w:rsidRPr="00273632">
        <w:t xml:space="preserve">Poskytnuté služby budou hrazeny měsíčně </w:t>
      </w:r>
      <w:r>
        <w:t xml:space="preserve">(za celý kalendářní měsíc) </w:t>
      </w:r>
      <w:r w:rsidR="000F22DD">
        <w:t>na základě faktur –</w:t>
      </w:r>
      <w:r w:rsidR="00315F6C">
        <w:t xml:space="preserve"> daňových dokladů vystavených D</w:t>
      </w:r>
      <w:r w:rsidRPr="00273632">
        <w:t>odavatelem</w:t>
      </w:r>
      <w:r>
        <w:t xml:space="preserve"> vždy k poslednímu dni kalendářního měsíce, za které se služby a dodávky účtují</w:t>
      </w:r>
      <w:r w:rsidRPr="00273632">
        <w:t xml:space="preserve">. </w:t>
      </w:r>
      <w:r>
        <w:t>D</w:t>
      </w:r>
      <w:r w:rsidRPr="00273632">
        <w:t xml:space="preserve">aňový doklad musí být doručen </w:t>
      </w:r>
      <w:r w:rsidR="00315F6C">
        <w:t>O</w:t>
      </w:r>
      <w:r w:rsidRPr="00273632">
        <w:t>dběrateli do patnáctého dne měsíce následujícího po měsíci, ve kterém byly požadované služby poskytnuty.</w:t>
      </w:r>
    </w:p>
    <w:p w14:paraId="2146EE43" w14:textId="368DB56E" w:rsidR="000F22DD" w:rsidRDefault="000F22DD" w:rsidP="003200E4">
      <w:pPr>
        <w:numPr>
          <w:ilvl w:val="1"/>
          <w:numId w:val="34"/>
        </w:numPr>
        <w:spacing w:after="120"/>
        <w:jc w:val="both"/>
      </w:pPr>
      <w:r w:rsidRPr="000F22DD">
        <w:t>Daňový doklad (faktura) bude obsahovat náležitosti běžné v obchodním styku a musí naplňovat charakter daňového dokladu podle zákona č. 235/2004 Sb., o DPH ve znění pozdějších předpisů a náležitosti obchodní listiny ve smyslu ustanovení § 435 zákona č. 89/2012 Sb., občanského zákoníku.</w:t>
      </w:r>
    </w:p>
    <w:p w14:paraId="7575FB4C" w14:textId="43DE8BD6" w:rsidR="004F26F2" w:rsidRDefault="004F26F2" w:rsidP="003200E4">
      <w:pPr>
        <w:numPr>
          <w:ilvl w:val="1"/>
          <w:numId w:val="34"/>
        </w:numPr>
        <w:spacing w:after="120"/>
        <w:jc w:val="both"/>
      </w:pPr>
      <w:r>
        <w:t xml:space="preserve">Faktura bude doručena Odběrateli v elektronické podobě na adresu </w:t>
      </w:r>
      <w:hyperlink r:id="rId10" w:history="1">
        <w:r w:rsidRPr="009B30C7">
          <w:rPr>
            <w:rStyle w:val="Hypertextovodkaz"/>
          </w:rPr>
          <w:t>faktury@pmdp.cz</w:t>
        </w:r>
      </w:hyperlink>
      <w:r>
        <w:t xml:space="preserve"> ve formátu ISDOC nebo PDF/A.</w:t>
      </w:r>
    </w:p>
    <w:p w14:paraId="2146EE44" w14:textId="77777777" w:rsidR="000F22DD" w:rsidRDefault="000F22DD" w:rsidP="003200E4">
      <w:pPr>
        <w:numPr>
          <w:ilvl w:val="1"/>
          <w:numId w:val="34"/>
        </w:numPr>
        <w:spacing w:after="120"/>
        <w:jc w:val="both"/>
      </w:pPr>
      <w:r w:rsidRPr="00C7606C">
        <w:t>Přílohou daňového dokladu bude cena služeb a dodávek rozčleněná na jednotliv</w:t>
      </w:r>
      <w:r>
        <w:t>á</w:t>
      </w:r>
      <w:r w:rsidRPr="00C7606C">
        <w:t xml:space="preserve"> </w:t>
      </w:r>
      <w:r>
        <w:t>nákladová střediska</w:t>
      </w:r>
      <w:r w:rsidRPr="00C7606C">
        <w:t xml:space="preserve"> </w:t>
      </w:r>
      <w:r w:rsidR="00315F6C">
        <w:t>O</w:t>
      </w:r>
      <w:r w:rsidRPr="00C7606C">
        <w:t xml:space="preserve">dběratele a její součástí bude podrobný rozpis poskytovaných služeb jednotlivým </w:t>
      </w:r>
      <w:r>
        <w:t xml:space="preserve">nákladovým střediskům </w:t>
      </w:r>
      <w:r w:rsidRPr="00C7606C">
        <w:t xml:space="preserve">(seznam obsahující počty typů kopií a papírů na jednotlivých tiskových zařízeních). Zároveň bude daňový doklad poskytnut </w:t>
      </w:r>
      <w:r w:rsidR="00315F6C">
        <w:t>O</w:t>
      </w:r>
      <w:r w:rsidRPr="00C7606C">
        <w:t>dběrateli v elektronické podobě</w:t>
      </w:r>
      <w:r>
        <w:t xml:space="preserve"> (vhodný k dalšímu automatizovanému zpracování např. formát Microsoft Excel)</w:t>
      </w:r>
      <w:r w:rsidRPr="00C7606C">
        <w:t>.</w:t>
      </w:r>
    </w:p>
    <w:p w14:paraId="2146EE45" w14:textId="77777777" w:rsidR="000F22DD" w:rsidRDefault="000F22DD" w:rsidP="003200E4">
      <w:pPr>
        <w:numPr>
          <w:ilvl w:val="1"/>
          <w:numId w:val="34"/>
        </w:numPr>
        <w:spacing w:after="120"/>
        <w:jc w:val="both"/>
      </w:pPr>
      <w:r>
        <w:t xml:space="preserve">Splatnost daňového dokladu se sjednává na 30 dní ode dne vystavení daňového dokladu, nejméně však 21 dní ode dne doručení dokladu. </w:t>
      </w:r>
      <w:r w:rsidRPr="000F22DD">
        <w:rPr>
          <w:bCs/>
        </w:rPr>
        <w:t xml:space="preserve">Pokud faktura neobsahuje všechny uvedené náležitosti a přílohy, má </w:t>
      </w:r>
      <w:r>
        <w:rPr>
          <w:bCs/>
        </w:rPr>
        <w:t>Odběratel</w:t>
      </w:r>
      <w:r w:rsidRPr="000F22DD">
        <w:rPr>
          <w:bCs/>
        </w:rPr>
        <w:t xml:space="preserve"> právo fakturu vrátit k doplnění. </w:t>
      </w:r>
      <w:r w:rsidRPr="000F22DD">
        <w:t xml:space="preserve">V takovém případě nastane splatnost kupní ceny až dnem, který je jako den splatnosti vyznačen v dodatečně doručené řádné faktuře, ne však dříve, než uplynutím 21 dnů ode dne doručení takové řádné faktury </w:t>
      </w:r>
      <w:r>
        <w:t>Odběrateli</w:t>
      </w:r>
      <w:r w:rsidRPr="000F22DD">
        <w:t>.</w:t>
      </w:r>
    </w:p>
    <w:p w14:paraId="2146EE46" w14:textId="77777777" w:rsidR="00C7606C" w:rsidRPr="00273632" w:rsidRDefault="00C7606C" w:rsidP="00C7606C">
      <w:pPr>
        <w:pStyle w:val="Zkladntext2"/>
        <w:jc w:val="both"/>
        <w:rPr>
          <w:rFonts w:ascii="Times New Roman" w:hAnsi="Times New Roman"/>
          <w:sz w:val="24"/>
        </w:rPr>
      </w:pPr>
    </w:p>
    <w:p w14:paraId="49B561DF" w14:textId="5EEC7B1D" w:rsidR="00DE177D" w:rsidRDefault="00C7606C" w:rsidP="003200E4">
      <w:pPr>
        <w:numPr>
          <w:ilvl w:val="1"/>
          <w:numId w:val="34"/>
        </w:numPr>
        <w:spacing w:after="120"/>
        <w:jc w:val="both"/>
      </w:pPr>
      <w:r w:rsidRPr="00273632">
        <w:t>Daňov</w:t>
      </w:r>
      <w:r w:rsidR="00DE177D">
        <w:t>é</w:t>
      </w:r>
      <w:r w:rsidRPr="00273632">
        <w:t xml:space="preserve"> doklad</w:t>
      </w:r>
      <w:r w:rsidR="00DE177D">
        <w:t>y</w:t>
      </w:r>
      <w:r w:rsidRPr="00273632">
        <w:t xml:space="preserve"> bud</w:t>
      </w:r>
      <w:r w:rsidR="00DE177D">
        <w:t>ou</w:t>
      </w:r>
      <w:r w:rsidRPr="00273632">
        <w:t xml:space="preserve"> </w:t>
      </w:r>
      <w:r w:rsidR="00DE177D">
        <w:t xml:space="preserve">vždy vystaveny dva, a to takto: </w:t>
      </w:r>
    </w:p>
    <w:p w14:paraId="2146EE47" w14:textId="45AA55E0" w:rsidR="00C7606C" w:rsidRPr="00273632" w:rsidRDefault="00DE177D" w:rsidP="00DE177D">
      <w:pPr>
        <w:pStyle w:val="Odstavecseseznamem"/>
        <w:numPr>
          <w:ilvl w:val="0"/>
          <w:numId w:val="45"/>
        </w:numPr>
        <w:spacing w:after="120"/>
        <w:jc w:val="both"/>
      </w:pPr>
      <w:r>
        <w:t xml:space="preserve">jeden na cenu za nájem zařízení a finišerů, když bude </w:t>
      </w:r>
      <w:r w:rsidR="00C7606C" w:rsidRPr="00273632">
        <w:t>členěn:</w:t>
      </w:r>
    </w:p>
    <w:p w14:paraId="2146EE48" w14:textId="77777777" w:rsidR="00C7606C" w:rsidRDefault="00C7606C" w:rsidP="003200E4">
      <w:pPr>
        <w:numPr>
          <w:ilvl w:val="2"/>
          <w:numId w:val="34"/>
        </w:numPr>
        <w:spacing w:after="120"/>
        <w:jc w:val="both"/>
      </w:pPr>
      <w:r w:rsidRPr="00273632">
        <w:t>částka za nájem zařízení</w:t>
      </w:r>
    </w:p>
    <w:p w14:paraId="2146EE49" w14:textId="47782016" w:rsidR="00553200" w:rsidRDefault="00553200" w:rsidP="003200E4">
      <w:pPr>
        <w:numPr>
          <w:ilvl w:val="2"/>
          <w:numId w:val="34"/>
        </w:numPr>
        <w:spacing w:after="120"/>
        <w:jc w:val="both"/>
      </w:pPr>
      <w:r w:rsidRPr="00273632">
        <w:t xml:space="preserve">částka za nájem </w:t>
      </w:r>
      <w:r>
        <w:t>finišerů</w:t>
      </w:r>
    </w:p>
    <w:p w14:paraId="6673BD4A" w14:textId="6B09A2AE" w:rsidR="00DE177D" w:rsidRPr="00273632" w:rsidRDefault="00DE177D" w:rsidP="00DE177D">
      <w:pPr>
        <w:pStyle w:val="Odstavecseseznamem"/>
        <w:numPr>
          <w:ilvl w:val="0"/>
          <w:numId w:val="45"/>
        </w:numPr>
        <w:spacing w:after="120"/>
        <w:jc w:val="both"/>
      </w:pPr>
      <w:r>
        <w:t>druhý na cenu za výtisky</w:t>
      </w:r>
    </w:p>
    <w:p w14:paraId="2146EE4A" w14:textId="77777777" w:rsidR="00C7606C" w:rsidRPr="00273632" w:rsidRDefault="00C7606C" w:rsidP="003200E4">
      <w:pPr>
        <w:numPr>
          <w:ilvl w:val="2"/>
          <w:numId w:val="34"/>
        </w:numPr>
        <w:spacing w:after="120"/>
        <w:jc w:val="both"/>
      </w:pPr>
      <w:r w:rsidRPr="00273632">
        <w:t>částka za skutečně zhotovené tisky/kopie</w:t>
      </w:r>
    </w:p>
    <w:p w14:paraId="2146EE4B" w14:textId="77777777" w:rsidR="00C7606C" w:rsidRPr="00273632" w:rsidRDefault="00C7606C" w:rsidP="003200E4">
      <w:pPr>
        <w:numPr>
          <w:ilvl w:val="2"/>
          <w:numId w:val="34"/>
        </w:numPr>
        <w:spacing w:after="120"/>
        <w:jc w:val="both"/>
      </w:pPr>
      <w:r w:rsidRPr="00273632">
        <w:t>částka za skutečně odebraný papír</w:t>
      </w:r>
    </w:p>
    <w:p w14:paraId="2146EE4C" w14:textId="77777777" w:rsidR="00C7606C" w:rsidRDefault="00C7606C" w:rsidP="003200E4">
      <w:pPr>
        <w:numPr>
          <w:ilvl w:val="2"/>
          <w:numId w:val="34"/>
        </w:numPr>
        <w:spacing w:after="120"/>
        <w:jc w:val="both"/>
      </w:pPr>
      <w:r w:rsidRPr="00273632">
        <w:t>částka za nájem systému pro správu tiskového prostředí</w:t>
      </w:r>
    </w:p>
    <w:p w14:paraId="2146EE4D" w14:textId="77777777" w:rsidR="00C7606C" w:rsidRPr="00273632" w:rsidRDefault="00C7606C" w:rsidP="00C7606C">
      <w:pPr>
        <w:pStyle w:val="Zkladntext2"/>
        <w:ind w:left="1276"/>
        <w:jc w:val="both"/>
        <w:rPr>
          <w:rFonts w:ascii="Times New Roman" w:hAnsi="Times New Roman"/>
          <w:sz w:val="24"/>
        </w:rPr>
      </w:pPr>
    </w:p>
    <w:p w14:paraId="2146EE4E" w14:textId="77777777" w:rsidR="00C7606C" w:rsidRPr="00273632" w:rsidRDefault="006A5445" w:rsidP="003200E4">
      <w:pPr>
        <w:numPr>
          <w:ilvl w:val="1"/>
          <w:numId w:val="34"/>
        </w:numPr>
        <w:spacing w:after="120"/>
        <w:jc w:val="both"/>
      </w:pPr>
      <w:r w:rsidRPr="00273632">
        <w:t>Platby budou probíhat výhradně v české měně (CZK). Rovněž veškeré cenové údaje budou uváděny v české měně (CZK).</w:t>
      </w:r>
    </w:p>
    <w:p w14:paraId="2146EE4F" w14:textId="77777777" w:rsidR="00C7606C" w:rsidRDefault="00C7606C" w:rsidP="00C7606C">
      <w:pPr>
        <w:pStyle w:val="Zkladntext2"/>
        <w:jc w:val="both"/>
        <w:rPr>
          <w:rFonts w:ascii="Times New Roman" w:hAnsi="Times New Roman"/>
          <w:sz w:val="24"/>
        </w:rPr>
      </w:pPr>
    </w:p>
    <w:p w14:paraId="2146EE50" w14:textId="77777777" w:rsidR="005F311C" w:rsidRDefault="005F311C" w:rsidP="00C7606C">
      <w:pPr>
        <w:pStyle w:val="Zkladntext2"/>
        <w:jc w:val="both"/>
        <w:rPr>
          <w:rFonts w:ascii="Times New Roman" w:hAnsi="Times New Roman"/>
          <w:sz w:val="24"/>
        </w:rPr>
      </w:pPr>
    </w:p>
    <w:p w14:paraId="2146EE51" w14:textId="77777777" w:rsidR="006A5445" w:rsidRPr="00D02752" w:rsidRDefault="006A5445" w:rsidP="00D02752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E52" w14:textId="77777777" w:rsidR="006A5445" w:rsidRPr="003113EA" w:rsidRDefault="003E5EC1" w:rsidP="003E5EC1">
      <w:pPr>
        <w:pStyle w:val="Zkladntext2"/>
        <w:tabs>
          <w:tab w:val="left" w:pos="2970"/>
          <w:tab w:val="center" w:pos="4589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A5445" w:rsidRPr="003113EA">
        <w:rPr>
          <w:rFonts w:ascii="Times New Roman" w:hAnsi="Times New Roman"/>
          <w:b/>
          <w:sz w:val="24"/>
        </w:rPr>
        <w:t xml:space="preserve">Práva a </w:t>
      </w:r>
      <w:r w:rsidR="00315F6C">
        <w:rPr>
          <w:rFonts w:ascii="Times New Roman" w:hAnsi="Times New Roman"/>
          <w:b/>
          <w:sz w:val="24"/>
        </w:rPr>
        <w:t>povinnosti D</w:t>
      </w:r>
      <w:r w:rsidR="006A5445" w:rsidRPr="003113EA">
        <w:rPr>
          <w:rFonts w:ascii="Times New Roman" w:hAnsi="Times New Roman"/>
          <w:b/>
          <w:sz w:val="24"/>
        </w:rPr>
        <w:t>odavatele</w:t>
      </w:r>
    </w:p>
    <w:p w14:paraId="2146EE53" w14:textId="035EA823" w:rsidR="00363DA8" w:rsidRPr="005A6CD3" w:rsidRDefault="00363DA8" w:rsidP="00D02752">
      <w:pPr>
        <w:numPr>
          <w:ilvl w:val="1"/>
          <w:numId w:val="34"/>
        </w:numPr>
        <w:spacing w:after="120"/>
        <w:jc w:val="both"/>
      </w:pPr>
      <w:r w:rsidRPr="003113EA">
        <w:t xml:space="preserve">Po celou dobu platnosti smlouvy je </w:t>
      </w:r>
      <w:r w:rsidR="00814B59">
        <w:t>D</w:t>
      </w:r>
      <w:r w:rsidR="00814B59" w:rsidRPr="003113EA">
        <w:t xml:space="preserve">odavatel </w:t>
      </w:r>
      <w:r w:rsidRPr="003113EA">
        <w:t xml:space="preserve">povinen poskytovat kvalitní a flexibilní </w:t>
      </w:r>
      <w:r w:rsidRPr="005A6CD3">
        <w:t xml:space="preserve">služby tak, aby zajistil provozuschopnost zařízení a je povinen plnit požadovanou úroveň servisní podpory tiskových zařízení </w:t>
      </w:r>
      <w:r w:rsidR="00C93AC7">
        <w:t xml:space="preserve">a systému správy a řízení tisků </w:t>
      </w:r>
      <w:r w:rsidR="00DC155D">
        <w:t>(SLA) specifikovanou v</w:t>
      </w:r>
      <w:r w:rsidR="00AD238A">
        <w:t> Příloze č. 1 -</w:t>
      </w:r>
      <w:r w:rsidR="00EA5BA1">
        <w:t xml:space="preserve"> </w:t>
      </w:r>
      <w:r w:rsidR="00DC155D">
        <w:t>T</w:t>
      </w:r>
      <w:r w:rsidRPr="005A6CD3">
        <w:t xml:space="preserve">echnické </w:t>
      </w:r>
      <w:r w:rsidR="00AD238A">
        <w:t>specifikaci</w:t>
      </w:r>
      <w:r w:rsidRPr="005A6CD3">
        <w:t>. Dodavatel je povinen poskytovat služby v pracovních dnech v době od 7:00 do 17:00 hodin.</w:t>
      </w:r>
    </w:p>
    <w:p w14:paraId="2146EE54" w14:textId="718DFA5B" w:rsidR="00363DA8" w:rsidRPr="005A6CD3" w:rsidRDefault="00363DA8" w:rsidP="00D02752">
      <w:pPr>
        <w:numPr>
          <w:ilvl w:val="1"/>
          <w:numId w:val="34"/>
        </w:numPr>
        <w:spacing w:after="120"/>
        <w:jc w:val="both"/>
      </w:pPr>
      <w:r w:rsidRPr="005A6CD3">
        <w:t>Dodavatel je povinen dostavit se k servisnímu z</w:t>
      </w:r>
      <w:r w:rsidR="00DC155D">
        <w:t>ásahu ve lhůtách stanovených v</w:t>
      </w:r>
      <w:r w:rsidR="00AD238A">
        <w:t xml:space="preserve"> Příloze č. 1 - </w:t>
      </w:r>
      <w:r w:rsidR="00DC155D">
        <w:t>T</w:t>
      </w:r>
      <w:r w:rsidRPr="005A6CD3">
        <w:t>echnické</w:t>
      </w:r>
      <w:r w:rsidR="00AD238A">
        <w:t xml:space="preserve"> specifikaci </w:t>
      </w:r>
      <w:r w:rsidRPr="005A6CD3">
        <w:t xml:space="preserve">od jeho nahlášení </w:t>
      </w:r>
      <w:r w:rsidR="00315F6C">
        <w:t>O</w:t>
      </w:r>
      <w:r w:rsidRPr="005A6CD3">
        <w:t xml:space="preserve">dběratelem, a to prostřednictvím </w:t>
      </w:r>
      <w:r w:rsidR="00FD07C4">
        <w:t>H</w:t>
      </w:r>
      <w:r w:rsidRPr="005A6CD3">
        <w:t xml:space="preserve">elpdeskového systému </w:t>
      </w:r>
      <w:r w:rsidR="00FD07C4">
        <w:t>Odběratele</w:t>
      </w:r>
      <w:r w:rsidRPr="005A6CD3">
        <w:t xml:space="preserve">. Pokud Dodavatel zjistí, že je aplikace </w:t>
      </w:r>
      <w:r w:rsidR="00BE3A21">
        <w:t>H</w:t>
      </w:r>
      <w:r w:rsidRPr="005A6CD3">
        <w:t xml:space="preserve">elpdeskového systému </w:t>
      </w:r>
      <w:r w:rsidR="00FD07C4">
        <w:t xml:space="preserve">Odběratele </w:t>
      </w:r>
      <w:r w:rsidRPr="005A6CD3">
        <w:t xml:space="preserve">nedostupná je povinen neprodleně informovat pracovníky Odběratele telefonicky na tel. č. </w:t>
      </w:r>
      <w:r w:rsidR="00F07E24">
        <w:t>+420 378 037 550</w:t>
      </w:r>
      <w:r w:rsidRPr="005A6CD3">
        <w:t xml:space="preserve"> nebo e-mailem na </w:t>
      </w:r>
      <w:r w:rsidR="00F07E24">
        <w:t>servicedesk@pmdp.cz</w:t>
      </w:r>
      <w:r w:rsidRPr="005A6CD3">
        <w:t>.</w:t>
      </w:r>
    </w:p>
    <w:p w14:paraId="2146EE55" w14:textId="1023DA49" w:rsidR="00363DA8" w:rsidRPr="005A6CD3" w:rsidRDefault="00363DA8" w:rsidP="00D02752">
      <w:pPr>
        <w:numPr>
          <w:ilvl w:val="1"/>
          <w:numId w:val="34"/>
        </w:numPr>
        <w:spacing w:after="120"/>
        <w:jc w:val="both"/>
      </w:pPr>
      <w:r w:rsidRPr="005A6CD3">
        <w:t xml:space="preserve">Dodavatel je povinen reagovat na předaný incident/požadavek z </w:t>
      </w:r>
      <w:r w:rsidR="003F20E2">
        <w:t>H</w:t>
      </w:r>
      <w:r w:rsidRPr="005A6CD3">
        <w:t xml:space="preserve">elpdeskového systému </w:t>
      </w:r>
      <w:r w:rsidR="00B01F96">
        <w:t xml:space="preserve">Odběratele </w:t>
      </w:r>
      <w:r w:rsidRPr="005A6CD3">
        <w:t>a zajistit nástup svých pracovníků na opravu</w:t>
      </w:r>
      <w:r w:rsidR="005342D5">
        <w:t xml:space="preserve"> nebo zahájení řešení požadavku</w:t>
      </w:r>
      <w:r w:rsidRPr="005A6CD3">
        <w:t xml:space="preserve"> v časech určených </w:t>
      </w:r>
      <w:r w:rsidR="00DC155D">
        <w:t>T</w:t>
      </w:r>
      <w:r w:rsidRPr="005A6CD3">
        <w:t>echnickou přílohou.</w:t>
      </w:r>
      <w:r w:rsidRPr="00D02752">
        <w:t xml:space="preserve"> </w:t>
      </w:r>
      <w:r w:rsidRPr="005A6CD3">
        <w:t>Odběratel umožní Dodavateli zpětný náhled na historii incidentů v</w:t>
      </w:r>
      <w:r w:rsidR="00C31459">
        <w:t>e svém</w:t>
      </w:r>
      <w:r w:rsidRPr="005A6CD3">
        <w:t> </w:t>
      </w:r>
      <w:r w:rsidR="003F20E2">
        <w:t>H</w:t>
      </w:r>
      <w:r w:rsidRPr="005A6CD3">
        <w:t xml:space="preserve">elpdeskovém systému pro případnou kontrolu. Do reakčních dob na dostavení se k závadě a na vyřešení problému nebude započítávána doba, kdy Dodavateli nebyl umožněn přístup k zařízení v </w:t>
      </w:r>
      <w:r w:rsidR="009E4688">
        <w:t xml:space="preserve">pracovní dny v </w:t>
      </w:r>
      <w:r w:rsidRPr="005A6CD3">
        <w:t xml:space="preserve">pracovní době 7.00 -17.00 hodin. Takový incident/požadavek bude </w:t>
      </w:r>
      <w:r w:rsidR="003F20E2">
        <w:t xml:space="preserve">Dodavatelem </w:t>
      </w:r>
      <w:r w:rsidRPr="005A6CD3">
        <w:t xml:space="preserve">přesunut v </w:t>
      </w:r>
      <w:r w:rsidR="003F20E2">
        <w:t xml:space="preserve">Helpdeskovém </w:t>
      </w:r>
      <w:r w:rsidRPr="005A6CD3">
        <w:t xml:space="preserve">systému </w:t>
      </w:r>
      <w:r w:rsidR="00A85D0A">
        <w:t xml:space="preserve">Odběratele </w:t>
      </w:r>
      <w:r w:rsidRPr="005A6CD3">
        <w:t xml:space="preserve">do </w:t>
      </w:r>
      <w:r w:rsidR="003F20E2">
        <w:t>stavu</w:t>
      </w:r>
      <w:r w:rsidRPr="005A6CD3">
        <w:t xml:space="preserve"> „čekání“</w:t>
      </w:r>
      <w:r w:rsidR="003F20E2">
        <w:t>, tj. bude pozastaven výpočet doby SLA</w:t>
      </w:r>
      <w:r w:rsidRPr="005A6CD3">
        <w:t>.</w:t>
      </w:r>
    </w:p>
    <w:p w14:paraId="2146EE56" w14:textId="5096073E" w:rsidR="00363DA8" w:rsidRPr="005247A7" w:rsidRDefault="00363DA8" w:rsidP="00D02752">
      <w:pPr>
        <w:numPr>
          <w:ilvl w:val="1"/>
          <w:numId w:val="34"/>
        </w:numPr>
        <w:spacing w:after="120"/>
        <w:jc w:val="both"/>
        <w:rPr>
          <w:color w:val="000000" w:themeColor="text1"/>
        </w:rPr>
      </w:pPr>
      <w:r w:rsidRPr="005A6CD3">
        <w:t xml:space="preserve">Prioritní kanál pro hlášení závad a požadavků je </w:t>
      </w:r>
      <w:r w:rsidR="00FD07C4">
        <w:t>H</w:t>
      </w:r>
      <w:r w:rsidRPr="005A6CD3">
        <w:t xml:space="preserve">elpdeskový systém provozovaný Odběratelem. V případě předání požadavku na Dodavatele je tento v </w:t>
      </w:r>
      <w:r w:rsidR="00FD07C4">
        <w:t>H</w:t>
      </w:r>
      <w:r w:rsidRPr="005A6CD3">
        <w:t xml:space="preserve">elpdeskovém systému </w:t>
      </w:r>
      <w:r w:rsidR="00315F6C">
        <w:t>O</w:t>
      </w:r>
      <w:r w:rsidRPr="005A6CD3">
        <w:t xml:space="preserve">dběratele evidován a na vznik tohoto požadavku je Dodavatel upozorněn prostřednictvím automaticky zasílaného strukturovaného e-mailu. V případě nefunkčnosti nebo nedostupnosti HelpDeskového systému Dodavatel poskytne telefonní číslo a e-mail pro potřeby hlášení závad </w:t>
      </w:r>
      <w:r w:rsidR="00315F6C">
        <w:t>O</w:t>
      </w:r>
      <w:r w:rsidRPr="005A6CD3">
        <w:t>dběratelem:</w:t>
      </w:r>
      <w:r w:rsidRPr="00D02752">
        <w:t xml:space="preserve"> </w:t>
      </w:r>
      <w:r w:rsidR="0072779F" w:rsidRPr="005247A7">
        <w:rPr>
          <w:color w:val="000000" w:themeColor="text1"/>
        </w:rPr>
        <w:t xml:space="preserve">tel.: </w:t>
      </w:r>
      <w:r w:rsidR="00D15A31" w:rsidRPr="007B11AF">
        <w:rPr>
          <w:color w:val="FF0000"/>
        </w:rPr>
        <w:t>{Doplní Dodavatel}</w:t>
      </w:r>
      <w:r w:rsidR="0072779F" w:rsidRPr="005247A7">
        <w:rPr>
          <w:color w:val="000000" w:themeColor="text1"/>
        </w:rPr>
        <w:t xml:space="preserve">, e-mail: </w:t>
      </w:r>
      <w:r w:rsidR="00D15A31" w:rsidRPr="007B11AF">
        <w:rPr>
          <w:color w:val="FF0000"/>
        </w:rPr>
        <w:t>{Doplní Dodavatel}</w:t>
      </w:r>
      <w:r w:rsidR="0072779F" w:rsidRPr="005247A7">
        <w:rPr>
          <w:color w:val="000000" w:themeColor="text1"/>
        </w:rPr>
        <w:t>.</w:t>
      </w:r>
    </w:p>
    <w:p w14:paraId="2146EE57" w14:textId="77777777" w:rsidR="00363DA8" w:rsidRPr="005A6CD3" w:rsidRDefault="00363DA8" w:rsidP="00D02752">
      <w:pPr>
        <w:numPr>
          <w:ilvl w:val="1"/>
          <w:numId w:val="34"/>
        </w:numPr>
        <w:spacing w:after="120"/>
        <w:jc w:val="both"/>
      </w:pPr>
      <w:r w:rsidRPr="005A6CD3">
        <w:t xml:space="preserve">Dodavatel je povinen udržovat celý pronajímaný </w:t>
      </w:r>
      <w:r w:rsidR="00063716">
        <w:t xml:space="preserve">Systém správy a řízení tisků </w:t>
      </w:r>
      <w:r w:rsidRPr="005A6CD3">
        <w:t xml:space="preserve">ve funkčním stavu, v případě jeho nedostupnosti zajistit jeho urychlenou obnovu nebo jeho </w:t>
      </w:r>
      <w:r w:rsidRPr="005A6CD3">
        <w:lastRenderedPageBreak/>
        <w:t>obejití, tak, aby zaměstnanci O</w:t>
      </w:r>
      <w:r w:rsidR="00315F6C">
        <w:t>dběra</w:t>
      </w:r>
      <w:r w:rsidRPr="005A6CD3">
        <w:t>tele mohli využívat tiskové a reprografické služby</w:t>
      </w:r>
      <w:r w:rsidR="00063716">
        <w:t xml:space="preserve">, a to v souladu s požadovanou úrovní </w:t>
      </w:r>
      <w:r w:rsidR="00063716" w:rsidRPr="00063716">
        <w:t>servisní podpory systému správy a řízení tisků</w:t>
      </w:r>
      <w:r w:rsidR="00063716">
        <w:t xml:space="preserve"> (viz. Příloha č. 1)</w:t>
      </w:r>
      <w:r w:rsidRPr="005A6CD3">
        <w:t>.</w:t>
      </w:r>
    </w:p>
    <w:p w14:paraId="2146EE58" w14:textId="77777777" w:rsidR="00363DA8" w:rsidRDefault="00363DA8" w:rsidP="00D02752">
      <w:pPr>
        <w:numPr>
          <w:ilvl w:val="1"/>
          <w:numId w:val="34"/>
        </w:numPr>
        <w:spacing w:after="120"/>
        <w:jc w:val="both"/>
      </w:pPr>
      <w:r w:rsidRPr="003113EA">
        <w:t>Dodavatel je povinen dodávat spotřební materiál tak, aby nedošlo k zablokování strojů z důvodu nedostatku tohoto materiálu.</w:t>
      </w:r>
      <w:r w:rsidR="00E3239D">
        <w:t xml:space="preserve"> Podrobnější požad</w:t>
      </w:r>
      <w:r w:rsidR="005119C3">
        <w:t>a</w:t>
      </w:r>
      <w:r w:rsidR="00E3239D">
        <w:t>vky na dodávky jsou uvedeny v Příloze č. 1 kapitola Spotřební materiál.</w:t>
      </w:r>
    </w:p>
    <w:p w14:paraId="2146EE59" w14:textId="3B9A7283" w:rsidR="00363DA8" w:rsidRPr="003113EA" w:rsidRDefault="00363DA8" w:rsidP="00D02752">
      <w:pPr>
        <w:numPr>
          <w:ilvl w:val="1"/>
          <w:numId w:val="34"/>
        </w:numPr>
        <w:spacing w:after="120"/>
        <w:jc w:val="both"/>
      </w:pPr>
      <w:r w:rsidRPr="003113EA">
        <w:t xml:space="preserve">Dodavatel je povinen zajistit pravidelné revize </w:t>
      </w:r>
      <w:r w:rsidR="00003FC7">
        <w:t xml:space="preserve">pronajatých </w:t>
      </w:r>
      <w:r w:rsidRPr="003113EA">
        <w:t>el. zařízení</w:t>
      </w:r>
      <w:r w:rsidR="00A662F1">
        <w:t xml:space="preserve"> v zákonem daných intervalech</w:t>
      </w:r>
      <w:r w:rsidRPr="003113EA">
        <w:t>. Náklady na provedení revize jsou zahrnuty v ceně za nájem systému.</w:t>
      </w:r>
      <w:r w:rsidR="00003FC7">
        <w:t xml:space="preserve"> Protokol o provedení revize je Dodavatel povinen neprodleně po provedení </w:t>
      </w:r>
      <w:r w:rsidR="00A662F1">
        <w:t>předat</w:t>
      </w:r>
      <w:r w:rsidR="00003FC7">
        <w:t xml:space="preserve"> Odběrateli minimálně v elektronické formě.</w:t>
      </w:r>
    </w:p>
    <w:p w14:paraId="2146EE5A" w14:textId="77777777" w:rsidR="00363DA8" w:rsidRPr="003113EA" w:rsidRDefault="00363DA8" w:rsidP="00D02752">
      <w:pPr>
        <w:numPr>
          <w:ilvl w:val="1"/>
          <w:numId w:val="34"/>
        </w:numPr>
        <w:spacing w:after="120"/>
        <w:jc w:val="both"/>
      </w:pPr>
      <w:r w:rsidRPr="003113EA">
        <w:t xml:space="preserve">Dodavatel se zavazuje dodržovat příkazy a pokyny odpovědných zaměstnanců </w:t>
      </w:r>
      <w:r w:rsidR="00315F6C">
        <w:t>O</w:t>
      </w:r>
      <w:r w:rsidRPr="003113EA">
        <w:t>dběratele a to zejména:</w:t>
      </w:r>
    </w:p>
    <w:p w14:paraId="2146EE5B" w14:textId="77777777" w:rsidR="00363DA8" w:rsidRPr="003113EA" w:rsidRDefault="00363DA8" w:rsidP="00D02752">
      <w:pPr>
        <w:numPr>
          <w:ilvl w:val="2"/>
          <w:numId w:val="34"/>
        </w:numPr>
        <w:spacing w:after="120"/>
        <w:jc w:val="both"/>
      </w:pPr>
      <w:r w:rsidRPr="003113EA">
        <w:t>dodržování bezpečnostních norem</w:t>
      </w:r>
      <w:r w:rsidR="00367AA9">
        <w:t>,</w:t>
      </w:r>
    </w:p>
    <w:p w14:paraId="2146EE5C" w14:textId="77777777" w:rsidR="00363DA8" w:rsidRPr="003113EA" w:rsidRDefault="00363DA8" w:rsidP="00D02752">
      <w:pPr>
        <w:numPr>
          <w:ilvl w:val="2"/>
          <w:numId w:val="34"/>
        </w:numPr>
        <w:spacing w:after="120"/>
        <w:jc w:val="both"/>
      </w:pPr>
      <w:r w:rsidRPr="003113EA">
        <w:t xml:space="preserve">směrnice o pohybu osob v prostorách </w:t>
      </w:r>
      <w:r w:rsidR="00315F6C">
        <w:t>O</w:t>
      </w:r>
      <w:r>
        <w:t>dběratele</w:t>
      </w:r>
      <w:r w:rsidR="00367AA9">
        <w:t>,</w:t>
      </w:r>
    </w:p>
    <w:p w14:paraId="2146EE5D" w14:textId="77777777" w:rsidR="00363DA8" w:rsidRPr="003113EA" w:rsidRDefault="00363DA8" w:rsidP="00D02752">
      <w:pPr>
        <w:numPr>
          <w:ilvl w:val="2"/>
          <w:numId w:val="34"/>
        </w:numPr>
        <w:spacing w:after="120"/>
        <w:jc w:val="both"/>
      </w:pPr>
      <w:r w:rsidRPr="003113EA">
        <w:t>Odběratel provede bezplatné proškolení určených zaměstnanců Dodavatele v potřebném rozsahu</w:t>
      </w:r>
      <w:r w:rsidR="00367AA9">
        <w:t>.</w:t>
      </w:r>
      <w:r w:rsidRPr="003113EA">
        <w:t xml:space="preserve"> </w:t>
      </w:r>
    </w:p>
    <w:p w14:paraId="2146EE5E" w14:textId="4718FB9F" w:rsidR="00FC319B" w:rsidRPr="005F311C" w:rsidRDefault="00363DA8" w:rsidP="005F311C">
      <w:pPr>
        <w:numPr>
          <w:ilvl w:val="1"/>
          <w:numId w:val="34"/>
        </w:numPr>
        <w:spacing w:after="120"/>
        <w:jc w:val="both"/>
        <w:rPr>
          <w:bCs/>
        </w:rPr>
      </w:pPr>
      <w:r w:rsidRPr="003113EA">
        <w:t xml:space="preserve">Dodavatel plně odpovídá za škody způsobené jeho činností v objektech </w:t>
      </w:r>
      <w:r w:rsidR="00315F6C">
        <w:t>O</w:t>
      </w:r>
      <w:r w:rsidRPr="003113EA">
        <w:t>dběratele a dále za škody způsobené v důsledku porušení jeho povinností, vyplývajících z této smlouvy.</w:t>
      </w:r>
      <w:r w:rsidR="00367AA9">
        <w:t xml:space="preserve"> Dodavatel je povinen po dobu trvání této smlouvy mít sjednáno pojištění odpovědnosti za škody způsobené jeho činností</w:t>
      </w:r>
      <w:r w:rsidR="00507C5B">
        <w:t xml:space="preserve"> v minimální výši 5.000.000,- Kč</w:t>
      </w:r>
      <w:r w:rsidR="00030D5D">
        <w:t xml:space="preserve"> a Odběratel má právo kdykoliv po Dodavateli požadovat prokázání této skutečnosti</w:t>
      </w:r>
      <w:r w:rsidR="00367AA9">
        <w:t>.</w:t>
      </w:r>
    </w:p>
    <w:p w14:paraId="2146EE5F" w14:textId="77777777" w:rsidR="00ED69F1" w:rsidRDefault="00ED69F1" w:rsidP="005A6CD3">
      <w:pPr>
        <w:pStyle w:val="Zkladntext2"/>
        <w:spacing w:after="120"/>
        <w:jc w:val="both"/>
        <w:rPr>
          <w:rFonts w:ascii="Times New Roman" w:hAnsi="Times New Roman"/>
          <w:sz w:val="24"/>
        </w:rPr>
      </w:pPr>
    </w:p>
    <w:p w14:paraId="2146EE60" w14:textId="77777777" w:rsidR="005A6CD3" w:rsidRPr="00D02752" w:rsidRDefault="005A6CD3" w:rsidP="005F311C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E61" w14:textId="77777777" w:rsidR="003E5EC1" w:rsidRPr="003113EA" w:rsidRDefault="003E5EC1" w:rsidP="005F311C">
      <w:pPr>
        <w:pStyle w:val="Zkladntext2"/>
        <w:tabs>
          <w:tab w:val="left" w:pos="2970"/>
          <w:tab w:val="center" w:pos="4589"/>
        </w:tabs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Sankce</w:t>
      </w:r>
    </w:p>
    <w:p w14:paraId="1F2CFA04" w14:textId="77777777" w:rsidR="00504FEF" w:rsidRDefault="00CE5819" w:rsidP="00D02752">
      <w:pPr>
        <w:numPr>
          <w:ilvl w:val="1"/>
          <w:numId w:val="34"/>
        </w:numPr>
        <w:spacing w:after="120"/>
        <w:jc w:val="both"/>
      </w:pPr>
      <w:r w:rsidRPr="003E5EC1">
        <w:t xml:space="preserve">V případě, že </w:t>
      </w:r>
      <w:r w:rsidR="00315F6C">
        <w:t>D</w:t>
      </w:r>
      <w:r w:rsidRPr="003E5EC1">
        <w:t xml:space="preserve">odavatel bude v prodlení se splněním povinnosti protokolárně </w:t>
      </w:r>
      <w:r w:rsidR="00315F6C">
        <w:t>O</w:t>
      </w:r>
      <w:r w:rsidRPr="003E5EC1">
        <w:t>dběrateli předat plně funkční a zprovozněný systém dle odst. 4.</w:t>
      </w:r>
      <w:r w:rsidR="00B7461E">
        <w:t>1</w:t>
      </w:r>
      <w:r w:rsidRPr="003E5EC1">
        <w:t xml:space="preserve"> této smlouvy, zavazuje se </w:t>
      </w:r>
      <w:r w:rsidR="00315F6C">
        <w:t>D</w:t>
      </w:r>
      <w:r w:rsidRPr="003E5EC1">
        <w:t xml:space="preserve">odavatel uhradit </w:t>
      </w:r>
      <w:r w:rsidR="00315F6C">
        <w:t>O</w:t>
      </w:r>
      <w:r w:rsidRPr="003E5EC1">
        <w:t xml:space="preserve">dběrateli smluvní pokutu ve výši 5.000,-Kč za každý započatý den prodlení. </w:t>
      </w:r>
    </w:p>
    <w:p w14:paraId="30230C60" w14:textId="5E727120" w:rsidR="00504FEF" w:rsidRDefault="00504FEF" w:rsidP="00D02752">
      <w:pPr>
        <w:numPr>
          <w:ilvl w:val="1"/>
          <w:numId w:val="34"/>
        </w:numPr>
        <w:spacing w:after="120"/>
        <w:jc w:val="both"/>
      </w:pPr>
      <w:r>
        <w:t xml:space="preserve">V případě, že Dodavatel poruší svojí povinnost s dodáním NOVÝCH multifunkčních zařízeních dle přílohy č. 1 kapitoly „Počet multifunkčních zařízení dle kategorií a předpokládaný objem tisku/kopií“, uhradí Odběrateli smluvní pokutu ve výši 1.000,- Kč za každý započatý den prodlení a zařízení, které nesplňuje tuto vlastnost. </w:t>
      </w:r>
    </w:p>
    <w:p w14:paraId="2146EE62" w14:textId="153BBF35" w:rsidR="003E5EC1" w:rsidRDefault="00CE5819" w:rsidP="00D02752">
      <w:pPr>
        <w:numPr>
          <w:ilvl w:val="1"/>
          <w:numId w:val="34"/>
        </w:numPr>
        <w:spacing w:after="120"/>
        <w:jc w:val="both"/>
      </w:pPr>
      <w:r w:rsidRPr="003E5EC1">
        <w:t xml:space="preserve">Zaplacením smluvní pokuty není dotčen nárok </w:t>
      </w:r>
      <w:r w:rsidR="00315F6C">
        <w:t>O</w:t>
      </w:r>
      <w:r w:rsidRPr="003E5EC1">
        <w:t xml:space="preserve">dběratele na náhradu škody. Smluvní pokuta je splatná ve lhůtě 15 dnů ode dne jejího vyúčtování </w:t>
      </w:r>
      <w:r w:rsidR="00315F6C">
        <w:t>O</w:t>
      </w:r>
      <w:r w:rsidRPr="003E5EC1">
        <w:t>dběratelem.</w:t>
      </w:r>
    </w:p>
    <w:p w14:paraId="2146EE63" w14:textId="2245CE73" w:rsidR="00CE5819" w:rsidRPr="003E5EC1" w:rsidRDefault="00CE5819" w:rsidP="00D02752">
      <w:pPr>
        <w:numPr>
          <w:ilvl w:val="1"/>
          <w:numId w:val="34"/>
        </w:numPr>
        <w:spacing w:after="120"/>
        <w:jc w:val="both"/>
      </w:pPr>
      <w:r w:rsidRPr="003E5EC1">
        <w:t xml:space="preserve">Pro případ, že se </w:t>
      </w:r>
      <w:r w:rsidR="00315F6C">
        <w:t>O</w:t>
      </w:r>
      <w:r w:rsidRPr="003E5EC1">
        <w:t xml:space="preserve">dběratel ocitne v prodlení s úhradou řádně vyúčtované úplaty (odměny </w:t>
      </w:r>
      <w:r w:rsidR="00315F6C">
        <w:t>D</w:t>
      </w:r>
      <w:r w:rsidRPr="003E5EC1">
        <w:t xml:space="preserve">odavatele) uvedené v odst. </w:t>
      </w:r>
      <w:r w:rsidR="00B7461E">
        <w:t xml:space="preserve">5.0, </w:t>
      </w:r>
      <w:r w:rsidRPr="003E5EC1">
        <w:t>5.1</w:t>
      </w:r>
      <w:r w:rsidR="00B7461E">
        <w:t xml:space="preserve"> a</w:t>
      </w:r>
      <w:r w:rsidRPr="003E5EC1">
        <w:t xml:space="preserve"> 5.2</w:t>
      </w:r>
      <w:r w:rsidR="00C547AA" w:rsidRPr="003E5EC1">
        <w:t xml:space="preserve"> </w:t>
      </w:r>
      <w:r w:rsidRPr="003E5EC1">
        <w:t xml:space="preserve">této smlouvy, zavazuje se </w:t>
      </w:r>
      <w:r w:rsidR="00315F6C">
        <w:t>O</w:t>
      </w:r>
      <w:r w:rsidRPr="003E5EC1">
        <w:t xml:space="preserve">dběratel uhradit </w:t>
      </w:r>
      <w:r w:rsidR="00315F6C">
        <w:t>D</w:t>
      </w:r>
      <w:r w:rsidRPr="003E5EC1">
        <w:t>odavateli smluvní pokutu ve výši 0,</w:t>
      </w:r>
      <w:r w:rsidR="000F22DD">
        <w:t>05</w:t>
      </w:r>
      <w:r w:rsidRPr="003E5EC1">
        <w:t xml:space="preserve"> % z dlužné částky za každý započatý den prodlení. Smluvní pokuta je splatná ve lhůtě 15 dnů ode dne, v němž </w:t>
      </w:r>
      <w:r w:rsidR="00315F6C">
        <w:t>D</w:t>
      </w:r>
      <w:r w:rsidRPr="003E5EC1">
        <w:t xml:space="preserve">odavatel </w:t>
      </w:r>
      <w:r w:rsidR="00315F6C">
        <w:t>O</w:t>
      </w:r>
      <w:r w:rsidRPr="003E5EC1">
        <w:t xml:space="preserve">dběrateli doručí vyúčtování smluvní pokuty. </w:t>
      </w:r>
    </w:p>
    <w:p w14:paraId="2146EE64" w14:textId="77777777" w:rsidR="00CE5819" w:rsidRPr="00CE5819" w:rsidRDefault="00CE5819" w:rsidP="00D02752">
      <w:pPr>
        <w:numPr>
          <w:ilvl w:val="1"/>
          <w:numId w:val="34"/>
        </w:numPr>
        <w:spacing w:after="120"/>
        <w:jc w:val="both"/>
      </w:pPr>
      <w:r w:rsidRPr="00CE5819">
        <w:t xml:space="preserve">Pro případ prodlení </w:t>
      </w:r>
      <w:r w:rsidR="00315F6C">
        <w:t>D</w:t>
      </w:r>
      <w:r w:rsidRPr="00CE5819">
        <w:t>odavatele</w:t>
      </w:r>
    </w:p>
    <w:p w14:paraId="2146EE65" w14:textId="77777777" w:rsidR="00CE5819" w:rsidRPr="00CE5819" w:rsidRDefault="00CE5819" w:rsidP="00D02752">
      <w:pPr>
        <w:numPr>
          <w:ilvl w:val="2"/>
          <w:numId w:val="34"/>
        </w:numPr>
        <w:spacing w:after="120"/>
        <w:jc w:val="both"/>
      </w:pPr>
      <w:r w:rsidRPr="00CE5819">
        <w:t xml:space="preserve">s nástupem k zahájení opravy po jejím prokazatelném nahlášení (tzv. doba zásahu), </w:t>
      </w:r>
    </w:p>
    <w:p w14:paraId="2146EE66" w14:textId="77777777" w:rsidR="00CE5819" w:rsidRPr="00CE5819" w:rsidRDefault="00CE5819" w:rsidP="00D02752">
      <w:pPr>
        <w:numPr>
          <w:ilvl w:val="2"/>
          <w:numId w:val="34"/>
        </w:numPr>
        <w:spacing w:after="120"/>
        <w:jc w:val="both"/>
      </w:pPr>
      <w:r w:rsidRPr="00CE5819">
        <w:t>s odstraněním problému nebo náhrady zařízení</w:t>
      </w:r>
    </w:p>
    <w:p w14:paraId="2146EE67" w14:textId="77777777" w:rsidR="00CE5819" w:rsidRDefault="00767FBB" w:rsidP="00D02752">
      <w:pPr>
        <w:numPr>
          <w:ilvl w:val="2"/>
          <w:numId w:val="34"/>
        </w:numPr>
        <w:spacing w:after="120"/>
        <w:jc w:val="both"/>
      </w:pPr>
      <w:r>
        <w:t>zprovoznění nefunkčnosti Systému správy a řízení tisků</w:t>
      </w:r>
    </w:p>
    <w:p w14:paraId="2146EE68" w14:textId="77777777" w:rsidR="00767FBB" w:rsidRDefault="00767FBB" w:rsidP="00D02752">
      <w:pPr>
        <w:numPr>
          <w:ilvl w:val="2"/>
          <w:numId w:val="34"/>
        </w:numPr>
        <w:spacing w:after="120"/>
        <w:jc w:val="both"/>
      </w:pPr>
      <w:r>
        <w:lastRenderedPageBreak/>
        <w:t>s realizací požadované úpravy nastavení Systému správy a řízení tisků</w:t>
      </w:r>
    </w:p>
    <w:p w14:paraId="2146EE69" w14:textId="77777777" w:rsidR="00767FBB" w:rsidRDefault="00767FBB" w:rsidP="00D02752">
      <w:pPr>
        <w:numPr>
          <w:ilvl w:val="2"/>
          <w:numId w:val="34"/>
        </w:numPr>
        <w:spacing w:after="120"/>
        <w:jc w:val="both"/>
      </w:pPr>
      <w:r>
        <w:t>s návrhem řešení a ocenění požadované úpravy Systému pro správu a řízení tisků</w:t>
      </w:r>
    </w:p>
    <w:p w14:paraId="2146EE6A" w14:textId="77777777" w:rsidR="00767FBB" w:rsidRPr="00CE5819" w:rsidRDefault="00767FBB" w:rsidP="00D02752">
      <w:pPr>
        <w:numPr>
          <w:ilvl w:val="2"/>
          <w:numId w:val="34"/>
        </w:numPr>
        <w:spacing w:after="120"/>
        <w:jc w:val="both"/>
      </w:pPr>
      <w:r>
        <w:t>s realizací odsouhlasené implementace úpravy Systému pro správu a řízení tisků</w:t>
      </w:r>
    </w:p>
    <w:p w14:paraId="2146EE6B" w14:textId="30636D94" w:rsidR="00CE5819" w:rsidRDefault="00CE5819" w:rsidP="00D02752">
      <w:pPr>
        <w:spacing w:after="120"/>
        <w:ind w:left="567"/>
        <w:jc w:val="both"/>
      </w:pPr>
      <w:r w:rsidRPr="00CE5819">
        <w:t>dle lhůt specifikovaných v </w:t>
      </w:r>
      <w:r w:rsidR="003B28F8">
        <w:t>T</w:t>
      </w:r>
      <w:r w:rsidRPr="00CE5819">
        <w:t xml:space="preserve">echnické </w:t>
      </w:r>
      <w:r w:rsidR="002C5233">
        <w:t>P</w:t>
      </w:r>
      <w:r w:rsidRPr="00CE5819">
        <w:t>říloze č. 1 (</w:t>
      </w:r>
      <w:r w:rsidR="006E05CF">
        <w:t xml:space="preserve">kapitola </w:t>
      </w:r>
      <w:r w:rsidRPr="00D471C5">
        <w:rPr>
          <w:b/>
        </w:rPr>
        <w:t>„Požadovaná úroveň servisní podpory tiskových zařízení“</w:t>
      </w:r>
      <w:r w:rsidR="003B28F8" w:rsidRPr="00D471C5">
        <w:rPr>
          <w:b/>
        </w:rPr>
        <w:t xml:space="preserve"> a "Požadovaná úroveň servisní podpory systému správy a řízení tisků"</w:t>
      </w:r>
      <w:r w:rsidR="006E05CF" w:rsidRPr="006E05CF">
        <w:t>)</w:t>
      </w:r>
      <w:r w:rsidRPr="00CE5819">
        <w:t xml:space="preserve"> zavazuje se </w:t>
      </w:r>
      <w:r w:rsidR="00E16C73">
        <w:t>D</w:t>
      </w:r>
      <w:r w:rsidRPr="00CE5819">
        <w:t xml:space="preserve">odavatel uhradit </w:t>
      </w:r>
      <w:r w:rsidR="00E16C73">
        <w:t>O</w:t>
      </w:r>
      <w:r w:rsidRPr="00CE5819">
        <w:t>dběrateli smluvní pokutu ve výši 1.000,-</w:t>
      </w:r>
      <w:r w:rsidR="003E5EC1">
        <w:t xml:space="preserve"> </w:t>
      </w:r>
      <w:r w:rsidRPr="00CE5819">
        <w:t>Kč</w:t>
      </w:r>
      <w:r w:rsidR="00B04EAB">
        <w:t xml:space="preserve"> bez DPH</w:t>
      </w:r>
      <w:r w:rsidR="0081502B">
        <w:t xml:space="preserve"> </w:t>
      </w:r>
      <w:r w:rsidRPr="00CE5819">
        <w:t xml:space="preserve">za každou započatou hodinu prodlení; do </w:t>
      </w:r>
      <w:r w:rsidR="006E05CF">
        <w:t xml:space="preserve">doby prodlení se nezapočítává </w:t>
      </w:r>
      <w:r w:rsidRPr="00CE5819">
        <w:t xml:space="preserve">doba od 17:00 hod. do 7:00 hod. Report </w:t>
      </w:r>
      <w:r w:rsidR="006E05CF">
        <w:t>ne</w:t>
      </w:r>
      <w:r w:rsidRPr="00CE5819">
        <w:t>dodržení parametrů smlouvy</w:t>
      </w:r>
      <w:r w:rsidR="008B3F37">
        <w:t xml:space="preserve"> </w:t>
      </w:r>
      <w:r w:rsidRPr="00CE5819">
        <w:t xml:space="preserve">bude pravidelně 1x měsíčně zasílán </w:t>
      </w:r>
      <w:r w:rsidR="00315F6C">
        <w:t>D</w:t>
      </w:r>
      <w:r w:rsidRPr="00CE5819">
        <w:t>odavateli.</w:t>
      </w:r>
      <w:r w:rsidR="00C547AA">
        <w:t xml:space="preserve"> </w:t>
      </w:r>
      <w:r w:rsidR="00E16C73">
        <w:t>Jako p</w:t>
      </w:r>
      <w:r w:rsidR="00C547AA">
        <w:t>odklad pro výpočet dodržení parametrů SLA primárně s</w:t>
      </w:r>
      <w:r w:rsidR="002C5233">
        <w:t>louží Help</w:t>
      </w:r>
      <w:r w:rsidR="00A33AD3">
        <w:t>D</w:t>
      </w:r>
      <w:r w:rsidR="00C547AA">
        <w:t xml:space="preserve">eskový systém </w:t>
      </w:r>
      <w:r w:rsidR="00E16C73">
        <w:t>O</w:t>
      </w:r>
      <w:r w:rsidR="00C547AA">
        <w:t>dběratele.</w:t>
      </w:r>
    </w:p>
    <w:p w14:paraId="2146EE6C" w14:textId="63AC8400" w:rsidR="003E5EC1" w:rsidRPr="006D3C07" w:rsidRDefault="006D3C07" w:rsidP="00D02752">
      <w:pPr>
        <w:numPr>
          <w:ilvl w:val="1"/>
          <w:numId w:val="34"/>
        </w:numPr>
        <w:spacing w:after="120"/>
        <w:jc w:val="both"/>
      </w:pPr>
      <w:r w:rsidRPr="006D3C07">
        <w:t xml:space="preserve">Pro případ prodlení </w:t>
      </w:r>
      <w:r w:rsidR="00315F6C">
        <w:t>D</w:t>
      </w:r>
      <w:r w:rsidRPr="006D3C07">
        <w:t>odavatele s automati</w:t>
      </w:r>
      <w:r w:rsidR="003E5EC1" w:rsidRPr="006D3C07">
        <w:t>zovan</w:t>
      </w:r>
      <w:r w:rsidRPr="006D3C07">
        <w:t>ou</w:t>
      </w:r>
      <w:r w:rsidR="003E5EC1" w:rsidRPr="006D3C07">
        <w:t xml:space="preserve"> dodávk</w:t>
      </w:r>
      <w:r w:rsidRPr="006D3C07">
        <w:t>ou</w:t>
      </w:r>
      <w:r w:rsidR="003E5EC1" w:rsidRPr="006D3C07">
        <w:t xml:space="preserve"> spotřebního materiálu </w:t>
      </w:r>
      <w:r w:rsidR="00ED1A52">
        <w:br/>
      </w:r>
      <w:r w:rsidR="003E5EC1" w:rsidRPr="006D3C07">
        <w:t>(s výjimkou papíru) pro pronajatá zařízení</w:t>
      </w:r>
      <w:r w:rsidRPr="006D3C07">
        <w:t xml:space="preserve"> dle Technické přílohy č. 1, kapitola "Spotřební materiál"</w:t>
      </w:r>
      <w:r w:rsidR="003E5EC1" w:rsidRPr="006D3C07">
        <w:t xml:space="preserve">, uhradí Dodavatel na výzvu </w:t>
      </w:r>
      <w:r w:rsidR="00315F6C">
        <w:t>Odběra</w:t>
      </w:r>
      <w:r w:rsidR="003E5EC1" w:rsidRPr="006D3C07">
        <w:t>tele smluvní pokutu ve výši 1000</w:t>
      </w:r>
      <w:r w:rsidR="00D15A31">
        <w:t>,-</w:t>
      </w:r>
      <w:r w:rsidR="003E5EC1" w:rsidRPr="006D3C07">
        <w:t xml:space="preserve"> Kč</w:t>
      </w:r>
      <w:r w:rsidR="00B04EAB">
        <w:t xml:space="preserve"> bez DPH</w:t>
      </w:r>
      <w:r w:rsidR="003E5EC1" w:rsidRPr="006D3C07">
        <w:t xml:space="preserve"> za každý započatý den, kdy zařízení nebude provozuschopné v důsledku nedodaného spotřebního materiálu.</w:t>
      </w:r>
    </w:p>
    <w:p w14:paraId="2146EE6D" w14:textId="77777777" w:rsidR="003E5EC1" w:rsidRDefault="003E5EC1" w:rsidP="00CE5819">
      <w:pPr>
        <w:spacing w:after="120"/>
        <w:ind w:left="708"/>
        <w:jc w:val="both"/>
      </w:pPr>
    </w:p>
    <w:p w14:paraId="2146EE6E" w14:textId="77777777" w:rsidR="006A5445" w:rsidRPr="003113EA" w:rsidRDefault="006A5445" w:rsidP="003E17B1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E6F" w14:textId="77777777" w:rsidR="006A5445" w:rsidRPr="003113EA" w:rsidRDefault="006A5445" w:rsidP="006A5445">
      <w:pPr>
        <w:pStyle w:val="Zkladntext2"/>
        <w:spacing w:after="120"/>
        <w:jc w:val="center"/>
        <w:rPr>
          <w:rFonts w:ascii="Times New Roman" w:hAnsi="Times New Roman"/>
          <w:b/>
          <w:sz w:val="24"/>
        </w:rPr>
      </w:pPr>
      <w:r w:rsidRPr="003113EA">
        <w:rPr>
          <w:rFonts w:ascii="Times New Roman" w:hAnsi="Times New Roman"/>
          <w:b/>
          <w:sz w:val="24"/>
        </w:rPr>
        <w:t xml:space="preserve">Práva a povinnosti </w:t>
      </w:r>
      <w:r w:rsidR="00315F6C">
        <w:rPr>
          <w:rFonts w:ascii="Times New Roman" w:hAnsi="Times New Roman"/>
          <w:b/>
          <w:sz w:val="24"/>
        </w:rPr>
        <w:t>O</w:t>
      </w:r>
      <w:r w:rsidRPr="003113EA">
        <w:rPr>
          <w:rFonts w:ascii="Times New Roman" w:hAnsi="Times New Roman"/>
          <w:b/>
          <w:sz w:val="24"/>
        </w:rPr>
        <w:t>dběratele</w:t>
      </w:r>
    </w:p>
    <w:p w14:paraId="2146EE70" w14:textId="77777777" w:rsidR="006A5445" w:rsidRPr="003113EA" w:rsidRDefault="006A5445" w:rsidP="003E17B1">
      <w:pPr>
        <w:numPr>
          <w:ilvl w:val="1"/>
          <w:numId w:val="34"/>
        </w:numPr>
        <w:spacing w:after="120"/>
        <w:jc w:val="both"/>
      </w:pPr>
      <w:r w:rsidRPr="003113EA">
        <w:t>Odběratel je povinen poskytnout odpovídající součinnost při instalacích zařízení a implementaci systému pro správu tiskového prostředí.</w:t>
      </w:r>
    </w:p>
    <w:p w14:paraId="2146EE71" w14:textId="77777777" w:rsidR="006A5445" w:rsidRPr="003113EA" w:rsidRDefault="006A5445" w:rsidP="003E17B1">
      <w:pPr>
        <w:numPr>
          <w:ilvl w:val="1"/>
          <w:numId w:val="34"/>
        </w:numPr>
        <w:spacing w:after="120"/>
        <w:jc w:val="both"/>
      </w:pPr>
      <w:r w:rsidRPr="003113EA">
        <w:t xml:space="preserve">Odběratel zajistí odpovídající přístup k předmětu smlouvy. </w:t>
      </w:r>
    </w:p>
    <w:p w14:paraId="2146EE72" w14:textId="022C3C47" w:rsidR="006A5445" w:rsidRPr="00C7606C" w:rsidRDefault="00315F6C" w:rsidP="003E17B1">
      <w:pPr>
        <w:numPr>
          <w:ilvl w:val="1"/>
          <w:numId w:val="34"/>
        </w:numPr>
        <w:spacing w:after="120"/>
        <w:jc w:val="both"/>
      </w:pPr>
      <w:r>
        <w:t>O</w:t>
      </w:r>
      <w:r w:rsidR="006A5445" w:rsidRPr="003113EA">
        <w:t xml:space="preserve">dběratel </w:t>
      </w:r>
      <w:r w:rsidR="00D15A31">
        <w:t xml:space="preserve">je </w:t>
      </w:r>
      <w:r w:rsidR="006A5445" w:rsidRPr="003113EA">
        <w:t xml:space="preserve">povinen hradit </w:t>
      </w:r>
      <w:r w:rsidR="00D15A31">
        <w:t xml:space="preserve">oprávněně vyfakturované </w:t>
      </w:r>
      <w:r w:rsidR="006A5445" w:rsidRPr="003113EA">
        <w:t>částky včas ve stanovené lhůtě.</w:t>
      </w:r>
    </w:p>
    <w:p w14:paraId="2146EE73" w14:textId="77777777" w:rsidR="00E77061" w:rsidRPr="003113EA" w:rsidRDefault="00E77061" w:rsidP="006A5445">
      <w:pPr>
        <w:jc w:val="center"/>
        <w:rPr>
          <w:b/>
        </w:rPr>
      </w:pPr>
    </w:p>
    <w:p w14:paraId="2146EE74" w14:textId="77777777" w:rsidR="006A5445" w:rsidRPr="003113EA" w:rsidRDefault="006A5445" w:rsidP="003E17B1">
      <w:pPr>
        <w:pStyle w:val="Odstavecseseznamem"/>
        <w:numPr>
          <w:ilvl w:val="0"/>
          <w:numId w:val="34"/>
        </w:numPr>
        <w:jc w:val="center"/>
        <w:rPr>
          <w:b/>
        </w:rPr>
      </w:pPr>
    </w:p>
    <w:p w14:paraId="2146EE75" w14:textId="77777777" w:rsidR="006A5445" w:rsidRPr="003113EA" w:rsidRDefault="006A5445" w:rsidP="006A5445">
      <w:pPr>
        <w:pStyle w:val="Zkladntext2"/>
        <w:spacing w:after="120"/>
        <w:jc w:val="center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b/>
          <w:sz w:val="24"/>
        </w:rPr>
        <w:t>Závěrečná ustanovení</w:t>
      </w:r>
    </w:p>
    <w:p w14:paraId="2146EE76" w14:textId="77777777" w:rsidR="005A31E6" w:rsidRPr="00273632" w:rsidRDefault="006A5445" w:rsidP="003E17B1">
      <w:pPr>
        <w:numPr>
          <w:ilvl w:val="1"/>
          <w:numId w:val="34"/>
        </w:numPr>
        <w:spacing w:after="120"/>
        <w:jc w:val="both"/>
      </w:pPr>
      <w:r w:rsidRPr="00273632">
        <w:t>Problematika, která není řešena v jednotlivých bodech této smlouvy, se řídí právním řádem České republiky, především Ob</w:t>
      </w:r>
      <w:r w:rsidR="006A5346" w:rsidRPr="00273632">
        <w:t>čanským zákoníkem</w:t>
      </w:r>
      <w:r w:rsidRPr="00273632">
        <w:t>.</w:t>
      </w:r>
    </w:p>
    <w:p w14:paraId="4D7DE738" w14:textId="6F1CE5D5" w:rsidR="00D15A31" w:rsidRDefault="00D15A31" w:rsidP="00030D5D">
      <w:pPr>
        <w:pStyle w:val="Odstavecseseznamem"/>
        <w:widowControl w:val="0"/>
        <w:numPr>
          <w:ilvl w:val="1"/>
          <w:numId w:val="34"/>
        </w:numPr>
        <w:suppressAutoHyphens/>
        <w:spacing w:after="120"/>
        <w:jc w:val="both"/>
      </w:pPr>
      <w:r w:rsidRPr="00080406">
        <w:t xml:space="preserve">Smluvní strany berou na vědomí, že </w:t>
      </w:r>
      <w:r>
        <w:t>Odběratel</w:t>
      </w:r>
      <w:r w:rsidRPr="00080406">
        <w:t xml:space="preserve"> je právnickou osobou, v níž má většinovou majetkovou účast územní samosprávný celek, a proto se na </w:t>
      </w:r>
      <w:r w:rsidR="00F22654">
        <w:t>tuto s</w:t>
      </w:r>
      <w:r>
        <w:t>mlouvu,</w:t>
      </w:r>
      <w:r w:rsidRPr="00080406">
        <w:t xml:space="preserve">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 smluv“).</w:t>
      </w:r>
    </w:p>
    <w:p w14:paraId="3032A96E" w14:textId="03C1CC23" w:rsidR="00F22654" w:rsidRPr="00080406" w:rsidRDefault="00F22654" w:rsidP="00030D5D">
      <w:pPr>
        <w:pStyle w:val="Odstavecseseznamem"/>
        <w:widowControl w:val="0"/>
        <w:numPr>
          <w:ilvl w:val="1"/>
          <w:numId w:val="34"/>
        </w:numPr>
        <w:suppressAutoHyphens/>
        <w:spacing w:after="120"/>
        <w:jc w:val="both"/>
      </w:pPr>
      <w:r w:rsidRPr="008001B4">
        <w:t xml:space="preserve">Smluvní strany prohlašují, že </w:t>
      </w:r>
      <w:r>
        <w:t>s</w:t>
      </w:r>
      <w:r w:rsidRPr="008001B4">
        <w:t>mlouva neobsahuj</w:t>
      </w:r>
      <w:r>
        <w:t>e</w:t>
      </w:r>
      <w:r w:rsidRPr="008001B4">
        <w:t xml:space="preserve"> obchodní tajemství a jako takov</w:t>
      </w:r>
      <w:r>
        <w:t>á</w:t>
      </w:r>
      <w:r w:rsidRPr="008001B4">
        <w:t xml:space="preserve"> můž</w:t>
      </w:r>
      <w:r>
        <w:t>e</w:t>
      </w:r>
      <w:r w:rsidRPr="008001B4">
        <w:t xml:space="preserve"> být v Registru smluv uveřejněn</w:t>
      </w:r>
      <w:r>
        <w:t>a</w:t>
      </w:r>
      <w:r w:rsidRPr="008001B4">
        <w:t xml:space="preserve"> v celém svém znění.</w:t>
      </w:r>
    </w:p>
    <w:p w14:paraId="2146EE77" w14:textId="1B56E615" w:rsidR="0007424C" w:rsidRPr="00273632" w:rsidRDefault="00F22654" w:rsidP="00030D5D">
      <w:pPr>
        <w:numPr>
          <w:ilvl w:val="1"/>
          <w:numId w:val="34"/>
        </w:numPr>
        <w:spacing w:after="120"/>
        <w:jc w:val="both"/>
      </w:pPr>
      <w:r>
        <w:t>Tato smlouva je platná ode dne jejího podpisu a účinná od 1. 7. 2021 za předpokladu jejího předchozího zveřejnění v registru smluv.</w:t>
      </w:r>
    </w:p>
    <w:p w14:paraId="2146EE78" w14:textId="7E995ADA" w:rsidR="005A31E6" w:rsidRPr="00273632" w:rsidRDefault="006A4A3F" w:rsidP="00030D5D">
      <w:pPr>
        <w:numPr>
          <w:ilvl w:val="1"/>
          <w:numId w:val="34"/>
        </w:numPr>
        <w:spacing w:after="120"/>
        <w:jc w:val="both"/>
      </w:pPr>
      <w:r w:rsidRPr="00273632">
        <w:t>Součástí této smlouvy jsou všeobecné obchodní podmínky (VOP) Odběratele uvedené v </w:t>
      </w:r>
      <w:r w:rsidR="008C51C9">
        <w:t>P</w:t>
      </w:r>
      <w:r w:rsidRPr="00273632">
        <w:t xml:space="preserve">říloze č. </w:t>
      </w:r>
      <w:r w:rsidR="00B7461E">
        <w:t>5</w:t>
      </w:r>
      <w:r w:rsidR="00F22654">
        <w:t xml:space="preserve">. </w:t>
      </w:r>
      <w:r w:rsidRPr="00273632">
        <w:t xml:space="preserve">Těmito VOP jsou smluvní strany vázány, není-li touto smlouvou uvedeno jinak. </w:t>
      </w:r>
    </w:p>
    <w:p w14:paraId="2146EE79" w14:textId="77777777" w:rsidR="005A31E6" w:rsidRPr="00273632" w:rsidRDefault="006A5445" w:rsidP="00030D5D">
      <w:pPr>
        <w:numPr>
          <w:ilvl w:val="1"/>
          <w:numId w:val="34"/>
        </w:numPr>
        <w:spacing w:after="120"/>
        <w:jc w:val="both"/>
      </w:pPr>
      <w:r w:rsidRPr="00273632">
        <w:t>Smlouva je vyhotovena ve dvou stejnopisech, z nichž každá ze smluvních stran obdrží po jednom vyhotovení.</w:t>
      </w:r>
    </w:p>
    <w:p w14:paraId="2146EE7A" w14:textId="5420ABC2" w:rsidR="006A5445" w:rsidRDefault="006A5445" w:rsidP="00030D5D">
      <w:pPr>
        <w:numPr>
          <w:ilvl w:val="1"/>
          <w:numId w:val="34"/>
        </w:numPr>
        <w:spacing w:after="120"/>
        <w:jc w:val="both"/>
      </w:pPr>
      <w:r w:rsidRPr="00273632">
        <w:lastRenderedPageBreak/>
        <w:t>Změny smlouvy budou platné pouze na základě číslovaných, písemných a oboustranně odsouhlasených dodatků, podepsaných oprávněnými zástupci obou smluvních stran.</w:t>
      </w:r>
    </w:p>
    <w:p w14:paraId="046A1F7A" w14:textId="493A6C77" w:rsidR="00720D90" w:rsidRPr="00273632" w:rsidRDefault="00720D90" w:rsidP="00030D5D">
      <w:pPr>
        <w:numPr>
          <w:ilvl w:val="1"/>
          <w:numId w:val="34"/>
        </w:numPr>
        <w:spacing w:after="120"/>
        <w:jc w:val="both"/>
      </w:pPr>
      <w:r w:rsidRPr="00E83A68">
        <w:t xml:space="preserve">Smluvní strany prohlašují, že osobní údaje poskytnuté druhé </w:t>
      </w:r>
      <w:r w:rsidRPr="003D5F61">
        <w:t xml:space="preserve">smluvní straně v rámci vzniklého smluvního vztahu, budou zpracovávány dle </w:t>
      </w:r>
      <w:r>
        <w:t xml:space="preserve">Zákona č. 110/2019 Sb., o ochraně osobní údajů a dle </w:t>
      </w:r>
      <w:r w:rsidRPr="003D5F61">
        <w:t>Nařízení Evropského parlamentu a Rady (EU) 2016/679 o ochraně fyzických osob v souvislosti se zpracováním osobních údajů a o volném pohybu těchto údajů a o zrušení směrnice 95/46/ES (obecné nařízení o ochraně osobních údajů) pro účely plnění smlouvy a to po dobu nezbytně nutnou. Po zániku právního důvodu zpracování osobních údajů budou tyto údaje zlikvidovány.</w:t>
      </w:r>
    </w:p>
    <w:p w14:paraId="2146EE7B" w14:textId="77777777" w:rsidR="006A5445" w:rsidRPr="00273632" w:rsidRDefault="006A5445" w:rsidP="006A5445">
      <w:pPr>
        <w:pStyle w:val="Zkladntext2"/>
        <w:spacing w:after="120"/>
        <w:jc w:val="both"/>
        <w:rPr>
          <w:rFonts w:ascii="Times New Roman" w:hAnsi="Times New Roman"/>
          <w:sz w:val="24"/>
        </w:rPr>
      </w:pPr>
    </w:p>
    <w:p w14:paraId="2146EE7C" w14:textId="77777777" w:rsidR="006A5346" w:rsidRPr="00273632" w:rsidRDefault="006A5445" w:rsidP="006A5445">
      <w:pPr>
        <w:pStyle w:val="Zkladntext2"/>
        <w:spacing w:after="120"/>
        <w:jc w:val="both"/>
        <w:rPr>
          <w:rFonts w:ascii="Times New Roman" w:hAnsi="Times New Roman"/>
          <w:b/>
          <w:sz w:val="24"/>
        </w:rPr>
      </w:pPr>
      <w:r w:rsidRPr="00273632">
        <w:rPr>
          <w:rFonts w:ascii="Times New Roman" w:hAnsi="Times New Roman"/>
          <w:b/>
          <w:sz w:val="24"/>
          <w:u w:val="single"/>
        </w:rPr>
        <w:t>Přílohy:</w:t>
      </w:r>
      <w:r w:rsidRPr="00273632">
        <w:rPr>
          <w:rFonts w:ascii="Times New Roman" w:hAnsi="Times New Roman"/>
          <w:b/>
          <w:sz w:val="24"/>
        </w:rPr>
        <w:t xml:space="preserve"> </w:t>
      </w:r>
      <w:r w:rsidRPr="00273632">
        <w:rPr>
          <w:rFonts w:ascii="Times New Roman" w:hAnsi="Times New Roman"/>
          <w:b/>
          <w:sz w:val="24"/>
        </w:rPr>
        <w:tab/>
      </w:r>
    </w:p>
    <w:p w14:paraId="2146EE7D" w14:textId="77777777" w:rsidR="006A5346" w:rsidRPr="00273632" w:rsidRDefault="006A5346" w:rsidP="006A5445">
      <w:pPr>
        <w:pStyle w:val="Zkladntext2"/>
        <w:spacing w:after="120"/>
        <w:jc w:val="both"/>
        <w:rPr>
          <w:rFonts w:ascii="Times New Roman" w:hAnsi="Times New Roman"/>
          <w:b/>
          <w:sz w:val="24"/>
        </w:rPr>
      </w:pPr>
    </w:p>
    <w:p w14:paraId="2146EE7E" w14:textId="53364F01" w:rsidR="00172D06" w:rsidRDefault="00172D06" w:rsidP="00172D06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 w:rsidRPr="00273632">
        <w:rPr>
          <w:rFonts w:ascii="Times New Roman" w:hAnsi="Times New Roman"/>
          <w:sz w:val="24"/>
        </w:rPr>
        <w:t xml:space="preserve">Příloha č. 1 - </w:t>
      </w:r>
      <w:r w:rsidRPr="00273632">
        <w:rPr>
          <w:rFonts w:ascii="Times New Roman" w:hAnsi="Times New Roman"/>
          <w:sz w:val="24"/>
        </w:rPr>
        <w:tab/>
        <w:t xml:space="preserve">Technická </w:t>
      </w:r>
      <w:r w:rsidR="00AD238A">
        <w:rPr>
          <w:rFonts w:ascii="Times New Roman" w:hAnsi="Times New Roman"/>
          <w:sz w:val="24"/>
        </w:rPr>
        <w:t>specifikace</w:t>
      </w:r>
    </w:p>
    <w:p w14:paraId="2146EE80" w14:textId="18DBA0C2" w:rsidR="00172D06" w:rsidRPr="00B06360" w:rsidRDefault="00172D06" w:rsidP="00172D06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 w:rsidRPr="00B06360">
        <w:rPr>
          <w:rFonts w:ascii="Times New Roman" w:hAnsi="Times New Roman"/>
          <w:sz w:val="24"/>
        </w:rPr>
        <w:t xml:space="preserve">Příloha č. 2 - </w:t>
      </w:r>
      <w:r w:rsidRPr="00B06360">
        <w:rPr>
          <w:rFonts w:ascii="Times New Roman" w:hAnsi="Times New Roman"/>
          <w:sz w:val="24"/>
        </w:rPr>
        <w:tab/>
      </w:r>
      <w:r w:rsidR="00B06360" w:rsidRPr="00B06360">
        <w:rPr>
          <w:rFonts w:ascii="Times New Roman" w:hAnsi="Times New Roman"/>
          <w:sz w:val="24"/>
        </w:rPr>
        <w:t>Technické parametry multifunkčních zařízení a tiskáren</w:t>
      </w:r>
    </w:p>
    <w:p w14:paraId="2146EE86" w14:textId="2C1088AA" w:rsidR="00172D06" w:rsidRPr="00273632" w:rsidRDefault="00172D06" w:rsidP="00172D06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 w:rsidRPr="00273632">
        <w:rPr>
          <w:rFonts w:ascii="Times New Roman" w:hAnsi="Times New Roman"/>
          <w:sz w:val="24"/>
        </w:rPr>
        <w:t xml:space="preserve">Příloha č. </w:t>
      </w:r>
      <w:r w:rsidR="00720D90">
        <w:rPr>
          <w:rFonts w:ascii="Times New Roman" w:hAnsi="Times New Roman"/>
          <w:sz w:val="24"/>
        </w:rPr>
        <w:t>3</w:t>
      </w:r>
      <w:r w:rsidRPr="00273632">
        <w:rPr>
          <w:rFonts w:ascii="Times New Roman" w:hAnsi="Times New Roman"/>
          <w:sz w:val="24"/>
        </w:rPr>
        <w:t xml:space="preserve"> - </w:t>
      </w:r>
      <w:r w:rsidRPr="00273632">
        <w:rPr>
          <w:rFonts w:ascii="Times New Roman" w:hAnsi="Times New Roman"/>
          <w:sz w:val="24"/>
        </w:rPr>
        <w:tab/>
        <w:t>Zadávací dokumentace včetně přílo</w:t>
      </w:r>
      <w:r w:rsidR="00315F6C">
        <w:rPr>
          <w:rFonts w:ascii="Times New Roman" w:hAnsi="Times New Roman"/>
          <w:sz w:val="24"/>
        </w:rPr>
        <w:t>h a nabídka Dodavatele učiněná O</w:t>
      </w:r>
      <w:r w:rsidRPr="00273632">
        <w:rPr>
          <w:rFonts w:ascii="Times New Roman" w:hAnsi="Times New Roman"/>
          <w:sz w:val="24"/>
        </w:rPr>
        <w:t>dběrateli v zadávacím řízení (</w:t>
      </w:r>
      <w:r w:rsidRPr="00172D06">
        <w:rPr>
          <w:rFonts w:ascii="Times New Roman" w:hAnsi="Times New Roman"/>
          <w:i/>
          <w:sz w:val="24"/>
        </w:rPr>
        <w:t>tato příloha je vedena odděleně</w:t>
      </w:r>
      <w:r w:rsidRPr="00273632">
        <w:rPr>
          <w:rFonts w:ascii="Times New Roman" w:hAnsi="Times New Roman"/>
          <w:sz w:val="24"/>
        </w:rPr>
        <w:t xml:space="preserve">) </w:t>
      </w:r>
    </w:p>
    <w:p w14:paraId="2146EE88" w14:textId="125739DE" w:rsidR="00172D06" w:rsidRDefault="00172D06" w:rsidP="00172D06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 w:rsidRPr="00273632">
        <w:rPr>
          <w:rFonts w:ascii="Times New Roman" w:hAnsi="Times New Roman"/>
          <w:sz w:val="24"/>
        </w:rPr>
        <w:t xml:space="preserve">Příloha č. </w:t>
      </w:r>
      <w:r w:rsidR="00720D90">
        <w:rPr>
          <w:rFonts w:ascii="Times New Roman" w:hAnsi="Times New Roman"/>
          <w:sz w:val="24"/>
        </w:rPr>
        <w:t>4</w:t>
      </w:r>
      <w:r w:rsidRPr="00273632">
        <w:rPr>
          <w:rFonts w:ascii="Times New Roman" w:hAnsi="Times New Roman"/>
          <w:sz w:val="24"/>
        </w:rPr>
        <w:t xml:space="preserve"> -</w:t>
      </w:r>
      <w:r w:rsidRPr="00273632">
        <w:rPr>
          <w:rFonts w:ascii="Times New Roman" w:hAnsi="Times New Roman"/>
          <w:sz w:val="24"/>
        </w:rPr>
        <w:tab/>
        <w:t>Přílohou této smlouvy se stane analýza stávajícího stavu s návrhem na optimalizaci řešení (</w:t>
      </w:r>
      <w:r w:rsidRPr="00172D06">
        <w:rPr>
          <w:rFonts w:ascii="Times New Roman" w:hAnsi="Times New Roman"/>
          <w:i/>
          <w:sz w:val="24"/>
        </w:rPr>
        <w:t xml:space="preserve">okamžikem dodání této analýzy </w:t>
      </w:r>
      <w:r w:rsidR="00315F6C">
        <w:rPr>
          <w:rFonts w:ascii="Times New Roman" w:hAnsi="Times New Roman"/>
          <w:i/>
          <w:sz w:val="24"/>
        </w:rPr>
        <w:t>O</w:t>
      </w:r>
      <w:r w:rsidRPr="00172D06">
        <w:rPr>
          <w:rFonts w:ascii="Times New Roman" w:hAnsi="Times New Roman"/>
          <w:i/>
          <w:sz w:val="24"/>
        </w:rPr>
        <w:t>dběrateli</w:t>
      </w:r>
      <w:r w:rsidRPr="00273632">
        <w:rPr>
          <w:rFonts w:ascii="Times New Roman" w:hAnsi="Times New Roman"/>
          <w:sz w:val="24"/>
        </w:rPr>
        <w:t>)</w:t>
      </w:r>
      <w:r w:rsidR="00B7461E">
        <w:rPr>
          <w:rFonts w:ascii="Times New Roman" w:hAnsi="Times New Roman"/>
          <w:sz w:val="24"/>
        </w:rPr>
        <w:t>, bude-li odsouhlasena Odběratelem</w:t>
      </w:r>
    </w:p>
    <w:p w14:paraId="2146EE8A" w14:textId="439A0504" w:rsidR="00172D06" w:rsidRDefault="00172D06" w:rsidP="00172D06">
      <w:pPr>
        <w:pStyle w:val="Zkladntext2"/>
        <w:spacing w:after="120"/>
        <w:ind w:left="2832" w:hanging="2124"/>
        <w:jc w:val="both"/>
        <w:rPr>
          <w:rFonts w:ascii="Times New Roman" w:hAnsi="Times New Roman"/>
          <w:sz w:val="24"/>
        </w:rPr>
      </w:pPr>
      <w:r w:rsidRPr="00273632">
        <w:rPr>
          <w:rFonts w:ascii="Times New Roman" w:hAnsi="Times New Roman"/>
          <w:sz w:val="24"/>
        </w:rPr>
        <w:t xml:space="preserve">Příloha č. </w:t>
      </w:r>
      <w:r w:rsidR="00720D90">
        <w:rPr>
          <w:rFonts w:ascii="Times New Roman" w:hAnsi="Times New Roman"/>
          <w:sz w:val="24"/>
        </w:rPr>
        <w:t>5</w:t>
      </w:r>
      <w:r w:rsidRPr="00273632">
        <w:rPr>
          <w:rFonts w:ascii="Times New Roman" w:hAnsi="Times New Roman"/>
          <w:sz w:val="24"/>
        </w:rPr>
        <w:t xml:space="preserve"> -</w:t>
      </w:r>
      <w:r w:rsidRPr="00273632">
        <w:rPr>
          <w:rFonts w:ascii="Times New Roman" w:hAnsi="Times New Roman"/>
          <w:sz w:val="24"/>
        </w:rPr>
        <w:tab/>
        <w:t>VOP</w:t>
      </w:r>
    </w:p>
    <w:p w14:paraId="5BA1246B" w14:textId="12EA911E" w:rsidR="00720D90" w:rsidRPr="00273632" w:rsidRDefault="00720D90" w:rsidP="00720D90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 w:rsidRPr="00273632">
        <w:rPr>
          <w:rFonts w:ascii="Times New Roman" w:hAnsi="Times New Roman"/>
          <w:sz w:val="24"/>
        </w:rPr>
        <w:t xml:space="preserve">Příloha č. </w:t>
      </w:r>
      <w:r w:rsidR="00B7461E">
        <w:rPr>
          <w:rFonts w:ascii="Times New Roman" w:hAnsi="Times New Roman"/>
          <w:sz w:val="24"/>
        </w:rPr>
        <w:t>6</w:t>
      </w:r>
      <w:r w:rsidRPr="00273632">
        <w:rPr>
          <w:rFonts w:ascii="Times New Roman" w:hAnsi="Times New Roman"/>
          <w:sz w:val="24"/>
        </w:rPr>
        <w:t xml:space="preserve"> -</w:t>
      </w:r>
      <w:r w:rsidRPr="00273632">
        <w:rPr>
          <w:rFonts w:ascii="Times New Roman" w:hAnsi="Times New Roman"/>
          <w:sz w:val="24"/>
        </w:rPr>
        <w:tab/>
      </w:r>
      <w:r w:rsidRPr="005833C1">
        <w:rPr>
          <w:rFonts w:ascii="Times New Roman" w:hAnsi="Times New Roman"/>
          <w:sz w:val="24"/>
        </w:rPr>
        <w:t>Harmonogram implementace systému</w:t>
      </w:r>
      <w:r>
        <w:rPr>
          <w:rFonts w:ascii="Times New Roman" w:hAnsi="Times New Roman"/>
          <w:sz w:val="24"/>
        </w:rPr>
        <w:t xml:space="preserve"> </w:t>
      </w:r>
      <w:r w:rsidR="007F2B70" w:rsidRPr="007F2B70">
        <w:rPr>
          <w:rFonts w:ascii="Times New Roman" w:hAnsi="Times New Roman"/>
          <w:sz w:val="24"/>
        </w:rPr>
        <w:t>(viz odst. 2.</w:t>
      </w:r>
      <w:r w:rsidR="00B7461E">
        <w:rPr>
          <w:rFonts w:ascii="Times New Roman" w:hAnsi="Times New Roman"/>
          <w:sz w:val="24"/>
        </w:rPr>
        <w:t>3</w:t>
      </w:r>
      <w:r w:rsidR="007F2B70" w:rsidRPr="007F2B70">
        <w:rPr>
          <w:rFonts w:ascii="Times New Roman" w:hAnsi="Times New Roman"/>
          <w:sz w:val="24"/>
        </w:rPr>
        <w:t>, písm. a) ZD)</w:t>
      </w:r>
    </w:p>
    <w:p w14:paraId="041A6C7B" w14:textId="7A8E6650" w:rsidR="00720D90" w:rsidRDefault="00720D90" w:rsidP="00720D90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 w:rsidRPr="00273632">
        <w:rPr>
          <w:rFonts w:ascii="Times New Roman" w:hAnsi="Times New Roman"/>
          <w:sz w:val="24"/>
        </w:rPr>
        <w:t xml:space="preserve">Příloha č. </w:t>
      </w:r>
      <w:r w:rsidR="00B7461E">
        <w:rPr>
          <w:rFonts w:ascii="Times New Roman" w:hAnsi="Times New Roman"/>
          <w:sz w:val="24"/>
        </w:rPr>
        <w:t>7</w:t>
      </w:r>
      <w:r w:rsidRPr="00273632">
        <w:rPr>
          <w:rFonts w:ascii="Times New Roman" w:hAnsi="Times New Roman"/>
          <w:sz w:val="24"/>
        </w:rPr>
        <w:t xml:space="preserve"> -</w:t>
      </w:r>
      <w:r w:rsidRPr="002736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Realizační tým Dodavatele </w:t>
      </w:r>
    </w:p>
    <w:p w14:paraId="43F7F5FC" w14:textId="46FBC381" w:rsidR="00BE296D" w:rsidRPr="00273632" w:rsidRDefault="00BE296D" w:rsidP="00720D90">
      <w:pPr>
        <w:pStyle w:val="Zkladntext2"/>
        <w:ind w:left="2832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č. 8 - </w:t>
      </w:r>
      <w:r>
        <w:rPr>
          <w:rFonts w:ascii="Times New Roman" w:hAnsi="Times New Roman"/>
          <w:sz w:val="24"/>
        </w:rPr>
        <w:tab/>
        <w:t>Kontaktní osoby odběratele</w:t>
      </w:r>
    </w:p>
    <w:p w14:paraId="54C0B1DC" w14:textId="77777777" w:rsidR="00720D90" w:rsidRPr="00273632" w:rsidRDefault="00720D90" w:rsidP="00172D06">
      <w:pPr>
        <w:pStyle w:val="Zkladntext2"/>
        <w:spacing w:after="120"/>
        <w:ind w:left="2832" w:hanging="2124"/>
        <w:jc w:val="both"/>
        <w:rPr>
          <w:rFonts w:ascii="Times New Roman" w:hAnsi="Times New Roman"/>
          <w:sz w:val="24"/>
        </w:rPr>
      </w:pPr>
    </w:p>
    <w:p w14:paraId="2146EE8B" w14:textId="77777777" w:rsidR="00D471C5" w:rsidRDefault="00D471C5">
      <w:pPr>
        <w:rPr>
          <w:bCs/>
        </w:rPr>
      </w:pPr>
    </w:p>
    <w:p w14:paraId="2146EE8C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sz w:val="24"/>
        </w:rPr>
        <w:t xml:space="preserve"> </w:t>
      </w:r>
    </w:p>
    <w:p w14:paraId="2146EE8D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sz w:val="24"/>
        </w:rPr>
        <w:t xml:space="preserve">Datum: </w:t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  <w:t>Datum:</w:t>
      </w:r>
    </w:p>
    <w:p w14:paraId="2146EE8E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8F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0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1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2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sz w:val="24"/>
        </w:rPr>
        <w:t>Dodavatel:</w:t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  <w:t>Odběratel:</w:t>
      </w:r>
    </w:p>
    <w:p w14:paraId="2146EE93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4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5" w14:textId="77777777" w:rsidR="006A5445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6" w14:textId="77777777" w:rsidR="008B1926" w:rsidRDefault="008B1926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7" w14:textId="77777777" w:rsidR="008B1926" w:rsidRDefault="008B1926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8" w14:textId="77777777" w:rsidR="008B1926" w:rsidRPr="003113EA" w:rsidRDefault="008B1926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9" w14:textId="77777777" w:rsidR="006A5445" w:rsidRPr="003113EA" w:rsidRDefault="006A5445" w:rsidP="006A5445">
      <w:pPr>
        <w:pStyle w:val="Zkladntext2"/>
        <w:jc w:val="both"/>
        <w:rPr>
          <w:rFonts w:ascii="Times New Roman" w:hAnsi="Times New Roman"/>
          <w:sz w:val="24"/>
        </w:rPr>
      </w:pPr>
    </w:p>
    <w:p w14:paraId="2146EE9A" w14:textId="77777777" w:rsidR="006A5445" w:rsidRPr="003113EA" w:rsidRDefault="00761620" w:rsidP="006A5445">
      <w:pPr>
        <w:pStyle w:val="Zkladntext2"/>
        <w:jc w:val="both"/>
        <w:rPr>
          <w:rFonts w:ascii="Times New Roman" w:hAnsi="Times New Roman"/>
          <w:sz w:val="24"/>
        </w:rPr>
      </w:pPr>
      <w:r w:rsidRPr="003113EA">
        <w:rPr>
          <w:rFonts w:ascii="Times New Roman" w:hAnsi="Times New Roman"/>
          <w:sz w:val="24"/>
        </w:rPr>
        <w:t>______________________</w:t>
      </w:r>
      <w:r w:rsidRPr="003113EA">
        <w:rPr>
          <w:rFonts w:ascii="Times New Roman" w:hAnsi="Times New Roman"/>
          <w:sz w:val="24"/>
        </w:rPr>
        <w:tab/>
      </w:r>
      <w:r w:rsidRPr="003113EA">
        <w:rPr>
          <w:rFonts w:ascii="Times New Roman" w:hAnsi="Times New Roman"/>
          <w:sz w:val="24"/>
        </w:rPr>
        <w:tab/>
        <w:t xml:space="preserve">     </w:t>
      </w:r>
      <w:r w:rsidR="00273632">
        <w:rPr>
          <w:rFonts w:ascii="Times New Roman" w:hAnsi="Times New Roman"/>
          <w:sz w:val="24"/>
        </w:rPr>
        <w:tab/>
      </w:r>
      <w:r w:rsidR="00273632">
        <w:rPr>
          <w:rFonts w:ascii="Times New Roman" w:hAnsi="Times New Roman"/>
          <w:sz w:val="24"/>
        </w:rPr>
        <w:tab/>
      </w:r>
      <w:r w:rsidR="006A5445" w:rsidRPr="003113EA">
        <w:rPr>
          <w:rFonts w:ascii="Times New Roman" w:hAnsi="Times New Roman"/>
          <w:sz w:val="24"/>
        </w:rPr>
        <w:t>________________________</w:t>
      </w:r>
    </w:p>
    <w:p w14:paraId="2146EE9B" w14:textId="400B2941" w:rsidR="006A5445" w:rsidRPr="00720D90" w:rsidRDefault="00720D90" w:rsidP="006A5445">
      <w:pPr>
        <w:pStyle w:val="Zkladntext2"/>
        <w:jc w:val="both"/>
        <w:rPr>
          <w:rFonts w:ascii="Times New Roman" w:hAnsi="Times New Roman"/>
          <w:sz w:val="20"/>
          <w:szCs w:val="20"/>
        </w:rPr>
      </w:pPr>
      <w:r w:rsidRPr="00720D90">
        <w:rPr>
          <w:rFonts w:ascii="Times New Roman" w:hAnsi="Times New Roman"/>
          <w:color w:val="FF0000"/>
          <w:sz w:val="24"/>
        </w:rPr>
        <w:t>{Doplní Dodavatel}</w:t>
      </w:r>
      <w:r w:rsidRPr="00720D90">
        <w:rPr>
          <w:rFonts w:ascii="Times New Roman" w:hAnsi="Times New Roman"/>
          <w:color w:val="FF0000"/>
          <w:sz w:val="24"/>
        </w:rPr>
        <w:tab/>
      </w:r>
      <w:r w:rsidRPr="00720D90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Pr="00720D90">
        <w:rPr>
          <w:rFonts w:ascii="Times New Roman" w:hAnsi="Times New Roman"/>
          <w:color w:val="FF0000"/>
          <w:sz w:val="24"/>
        </w:rPr>
        <w:tab/>
      </w:r>
      <w:r w:rsidR="008B1926" w:rsidRPr="00720D90">
        <w:rPr>
          <w:rFonts w:ascii="Times New Roman" w:hAnsi="Times New Roman"/>
          <w:b/>
          <w:i/>
          <w:color w:val="632423" w:themeColor="accent2" w:themeShade="80"/>
          <w:sz w:val="24"/>
        </w:rPr>
        <w:tab/>
      </w:r>
      <w:r w:rsidR="008B1926" w:rsidRPr="00720D90">
        <w:rPr>
          <w:rFonts w:ascii="Times New Roman" w:hAnsi="Times New Roman"/>
          <w:b/>
          <w:sz w:val="20"/>
          <w:szCs w:val="20"/>
        </w:rPr>
        <w:t>Plzeňské městské dopravní podniky, a.s.</w:t>
      </w:r>
    </w:p>
    <w:p w14:paraId="2146EE9C" w14:textId="63F05132" w:rsidR="00273632" w:rsidRPr="008B1926" w:rsidRDefault="00720D90" w:rsidP="006A5445">
      <w:pPr>
        <w:pStyle w:val="Zkladntext2"/>
        <w:jc w:val="both"/>
        <w:rPr>
          <w:rFonts w:ascii="Times New Roman" w:hAnsi="Times New Roman"/>
          <w:color w:val="632423" w:themeColor="accent2" w:themeShade="80"/>
          <w:sz w:val="24"/>
        </w:rPr>
      </w:pPr>
      <w:r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98625E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98625E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98625E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304B72">
        <w:rPr>
          <w:rFonts w:ascii="Times New Roman" w:hAnsi="Times New Roman"/>
          <w:color w:val="000000" w:themeColor="text1"/>
          <w:sz w:val="24"/>
        </w:rPr>
        <w:t>Mgr. Roman Zarzycký</w:t>
      </w:r>
    </w:p>
    <w:p w14:paraId="2146EE9D" w14:textId="64EDFABD" w:rsidR="008B1926" w:rsidRDefault="00720D90" w:rsidP="006A5445">
      <w:pPr>
        <w:pStyle w:val="Zkladntext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i/>
          <w:color w:val="632423" w:themeColor="accent2" w:themeShade="80"/>
          <w:sz w:val="24"/>
        </w:rPr>
        <w:tab/>
      </w:r>
      <w:r>
        <w:rPr>
          <w:rFonts w:ascii="Times New Roman" w:hAnsi="Times New Roman"/>
          <w:i/>
          <w:color w:val="632423" w:themeColor="accent2" w:themeShade="80"/>
          <w:sz w:val="24"/>
        </w:rPr>
        <w:tab/>
      </w:r>
      <w:r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8B1926" w:rsidRPr="008B1926">
        <w:rPr>
          <w:rFonts w:ascii="Times New Roman" w:hAnsi="Times New Roman"/>
          <w:i/>
          <w:color w:val="632423" w:themeColor="accent2" w:themeShade="80"/>
          <w:sz w:val="24"/>
        </w:rPr>
        <w:tab/>
      </w:r>
      <w:r w:rsidR="00304B72">
        <w:rPr>
          <w:rFonts w:ascii="Times New Roman" w:hAnsi="Times New Roman"/>
          <w:color w:val="000000" w:themeColor="text1"/>
          <w:sz w:val="24"/>
        </w:rPr>
        <w:t>předseda představenstva</w:t>
      </w:r>
    </w:p>
    <w:p w14:paraId="18B909D1" w14:textId="1C5D803D" w:rsidR="00BE296D" w:rsidRDefault="00BE296D" w:rsidP="006A5445">
      <w:pPr>
        <w:pStyle w:val="Zkladntext2"/>
        <w:jc w:val="both"/>
        <w:rPr>
          <w:rFonts w:ascii="Times New Roman" w:hAnsi="Times New Roman"/>
          <w:color w:val="000000" w:themeColor="text1"/>
          <w:sz w:val="24"/>
        </w:rPr>
      </w:pPr>
    </w:p>
    <w:p w14:paraId="4A0D5743" w14:textId="619B4B0E" w:rsidR="00BE296D" w:rsidRDefault="00BE296D" w:rsidP="006A5445">
      <w:pPr>
        <w:pStyle w:val="Zkladntext2"/>
        <w:jc w:val="both"/>
        <w:rPr>
          <w:rFonts w:ascii="Times New Roman" w:hAnsi="Times New Roman"/>
          <w:color w:val="000000" w:themeColor="text1"/>
          <w:sz w:val="24"/>
        </w:rPr>
      </w:pPr>
    </w:p>
    <w:p w14:paraId="1D9B38E5" w14:textId="13746BD6" w:rsidR="00BE296D" w:rsidRDefault="00BE296D" w:rsidP="006A5445">
      <w:pPr>
        <w:pStyle w:val="Zkladntext2"/>
        <w:jc w:val="both"/>
        <w:rPr>
          <w:rFonts w:ascii="Times New Roman" w:hAnsi="Times New Roman"/>
          <w:color w:val="000000" w:themeColor="text1"/>
          <w:sz w:val="24"/>
        </w:rPr>
      </w:pPr>
    </w:p>
    <w:p w14:paraId="2BF84EB5" w14:textId="645B8D78" w:rsidR="00BE296D" w:rsidRDefault="00BE296D" w:rsidP="00BE296D">
      <w:pPr>
        <w:pageBreakBefore/>
        <w:widowContro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lastRenderedPageBreak/>
        <w:t>Příloha č. 8: Kontaktní osoby odběratele</w:t>
      </w:r>
    </w:p>
    <w:p w14:paraId="0CF3C7C1" w14:textId="77777777" w:rsidR="00D53C13" w:rsidRDefault="00D53C13" w:rsidP="00D53C13">
      <w:pPr>
        <w:pStyle w:val="Odstavecseseznamem"/>
        <w:ind w:left="284"/>
        <w:rPr>
          <w:sz w:val="22"/>
          <w:szCs w:val="22"/>
        </w:rPr>
      </w:pPr>
    </w:p>
    <w:p w14:paraId="035426AC" w14:textId="7EE4D13E" w:rsidR="00D53C13" w:rsidRDefault="00D53C13" w:rsidP="00D53C13">
      <w:pPr>
        <w:pStyle w:val="Odstavecseseznamem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Jedná se o pověřeného zaměstnance </w:t>
      </w:r>
      <w:r w:rsidR="00726F69">
        <w:rPr>
          <w:sz w:val="22"/>
          <w:szCs w:val="22"/>
        </w:rPr>
        <w:t>odběratele</w:t>
      </w:r>
      <w:r>
        <w:rPr>
          <w:sz w:val="22"/>
          <w:szCs w:val="22"/>
        </w:rPr>
        <w:t>, který je oprávněn:</w:t>
      </w:r>
    </w:p>
    <w:p w14:paraId="4E5C4C4E" w14:textId="77777777" w:rsidR="00D53C13" w:rsidRDefault="00D53C13" w:rsidP="00D53C13">
      <w:pPr>
        <w:numPr>
          <w:ilvl w:val="0"/>
          <w:numId w:val="4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potvrzovat provedení služeb, které jsou uvedeny ve smlouvě;</w:t>
      </w:r>
    </w:p>
    <w:p w14:paraId="45E8328A" w14:textId="77777777" w:rsidR="00D53C13" w:rsidRDefault="00D53C13" w:rsidP="00D53C13">
      <w:pPr>
        <w:numPr>
          <w:ilvl w:val="0"/>
          <w:numId w:val="4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nahlašovat požadavky na služby stanovené smlouvou; </w:t>
      </w:r>
    </w:p>
    <w:p w14:paraId="77E7BFAE" w14:textId="77777777" w:rsidR="00D53C13" w:rsidRDefault="00D53C13" w:rsidP="00D53C13">
      <w:pPr>
        <w:numPr>
          <w:ilvl w:val="0"/>
          <w:numId w:val="4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požádat a provést kdykoliv kontrolu úrovně poskytovaných služeb; </w:t>
      </w:r>
    </w:p>
    <w:tbl>
      <w:tblPr>
        <w:tblpPr w:leftFromText="141" w:rightFromText="141" w:vertAnchor="text" w:horzAnchor="margin" w:tblpY="9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3061"/>
        <w:gridCol w:w="3828"/>
      </w:tblGrid>
      <w:tr w:rsidR="00D53C13" w14:paraId="7BF82866" w14:textId="77777777" w:rsidTr="00E72EBD">
        <w:trPr>
          <w:trHeight w:val="454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0B17777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40D073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14:paraId="68897270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</w:p>
        </w:tc>
      </w:tr>
      <w:tr w:rsidR="00D53C13" w14:paraId="23C74731" w14:textId="77777777" w:rsidTr="00E72EBD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F9B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592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C5A0C" w14:textId="77777777" w:rsidR="00D53C13" w:rsidRDefault="00D53C13" w:rsidP="00E72EBD">
            <w:pPr>
              <w:spacing w:line="276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3C13" w14:paraId="11D0DC93" w14:textId="77777777" w:rsidTr="00E72EBD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B8F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EBD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7AE91" w14:textId="77777777" w:rsidR="00D53C13" w:rsidRDefault="00D53C13" w:rsidP="00E72EBD">
            <w:pPr>
              <w:spacing w:line="276" w:lineRule="auto"/>
              <w:ind w:left="21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3C13" w14:paraId="5D2F8077" w14:textId="77777777" w:rsidTr="00E72EBD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C76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B229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BD10D" w14:textId="77777777" w:rsidR="00D53C13" w:rsidRDefault="00D53C13" w:rsidP="00E72EBD">
            <w:pPr>
              <w:spacing w:line="276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3C13" w14:paraId="65A3C185" w14:textId="77777777" w:rsidTr="00E72EBD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D89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7541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01934" w14:textId="77777777" w:rsidR="00D53C13" w:rsidRDefault="00D53C13" w:rsidP="00E72EBD">
            <w:pPr>
              <w:spacing w:line="276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3C13" w14:paraId="48F0ABBE" w14:textId="77777777" w:rsidTr="00E72EBD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F28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455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B8956" w14:textId="77777777" w:rsidR="00D53C13" w:rsidRDefault="00D53C13" w:rsidP="00E72EBD">
            <w:pPr>
              <w:spacing w:line="276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3C13" w14:paraId="1EC50636" w14:textId="77777777" w:rsidTr="00E72EBD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96978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00B72" w14:textId="77777777" w:rsidR="00D53C13" w:rsidRDefault="00D53C13" w:rsidP="00E72E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C8A3" w14:textId="77777777" w:rsidR="00D53C13" w:rsidRDefault="00D53C13" w:rsidP="00E72EBD">
            <w:pPr>
              <w:spacing w:line="276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BF5CD" w14:textId="70CFF898" w:rsidR="00D53C13" w:rsidRDefault="00D53C13" w:rsidP="00D53C13">
      <w:pPr>
        <w:numPr>
          <w:ilvl w:val="0"/>
          <w:numId w:val="47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nahlašovat závady a požadavky na služby na servisní linku </w:t>
      </w:r>
      <w:r w:rsidR="00726F69">
        <w:rPr>
          <w:sz w:val="22"/>
          <w:szCs w:val="22"/>
        </w:rPr>
        <w:t>dodavatele</w:t>
      </w:r>
      <w:bookmarkStart w:id="0" w:name="_GoBack"/>
      <w:bookmarkEnd w:id="0"/>
    </w:p>
    <w:p w14:paraId="1F616515" w14:textId="77777777" w:rsidR="00D53C13" w:rsidRDefault="00D53C13" w:rsidP="00D53C13">
      <w:pPr>
        <w:ind w:left="993"/>
        <w:rPr>
          <w:sz w:val="22"/>
          <w:szCs w:val="22"/>
        </w:rPr>
      </w:pPr>
    </w:p>
    <w:p w14:paraId="3B91A606" w14:textId="5F3F1DE1" w:rsidR="00D53C13" w:rsidRPr="00D53C13" w:rsidRDefault="00D53C13" w:rsidP="00D53C13">
      <w:pPr>
        <w:ind w:left="284"/>
        <w:rPr>
          <w:sz w:val="22"/>
          <w:szCs w:val="22"/>
        </w:rPr>
      </w:pPr>
      <w:r w:rsidRPr="002A26E3">
        <w:rPr>
          <w:sz w:val="22"/>
          <w:szCs w:val="22"/>
        </w:rPr>
        <w:t>Následující ta</w:t>
      </w:r>
      <w:r w:rsidR="00726F69">
        <w:rPr>
          <w:sz w:val="22"/>
          <w:szCs w:val="22"/>
        </w:rPr>
        <w:t>bulka určuje pověřené zástupce odběratele</w:t>
      </w:r>
      <w:r w:rsidRPr="002A26E3">
        <w:rPr>
          <w:sz w:val="22"/>
          <w:szCs w:val="22"/>
        </w:rPr>
        <w:t>:</w:t>
      </w:r>
    </w:p>
    <w:p w14:paraId="6A1F3E3C" w14:textId="144DD710" w:rsidR="00D53C13" w:rsidRPr="00D53C13" w:rsidRDefault="00D53C13" w:rsidP="00D53C13">
      <w:pPr>
        <w:rPr>
          <w:i/>
          <w:sz w:val="22"/>
          <w:szCs w:val="22"/>
        </w:rPr>
      </w:pPr>
      <w:r w:rsidRPr="00D53C13">
        <w:rPr>
          <w:i/>
          <w:sz w:val="22"/>
          <w:szCs w:val="22"/>
        </w:rPr>
        <w:t>Bude doplněno před uzavřením smlouvy</w:t>
      </w:r>
    </w:p>
    <w:p w14:paraId="57938DA2" w14:textId="77777777" w:rsidR="00D53C13" w:rsidRPr="00D53C13" w:rsidRDefault="00D53C13" w:rsidP="00D53C13">
      <w:pPr>
        <w:rPr>
          <w:sz w:val="22"/>
          <w:szCs w:val="22"/>
        </w:rPr>
      </w:pPr>
    </w:p>
    <w:p w14:paraId="606200F2" w14:textId="77777777" w:rsidR="00D53C13" w:rsidRPr="00D53C13" w:rsidRDefault="00D53C13" w:rsidP="00D53C13">
      <w:pPr>
        <w:rPr>
          <w:sz w:val="22"/>
          <w:szCs w:val="22"/>
        </w:rPr>
      </w:pPr>
    </w:p>
    <w:p w14:paraId="7459A723" w14:textId="77777777" w:rsidR="00BE296D" w:rsidRPr="008B1926" w:rsidRDefault="00BE296D" w:rsidP="006A5445">
      <w:pPr>
        <w:pStyle w:val="Zkladntext2"/>
        <w:jc w:val="both"/>
        <w:rPr>
          <w:rFonts w:ascii="Times New Roman" w:hAnsi="Times New Roman"/>
          <w:color w:val="000000" w:themeColor="text1"/>
          <w:sz w:val="24"/>
        </w:rPr>
      </w:pPr>
    </w:p>
    <w:sectPr w:rsidR="00BE296D" w:rsidRPr="008B1926" w:rsidSect="005F311C">
      <w:footerReference w:type="default" r:id="rId11"/>
      <w:pgSz w:w="11900" w:h="16820"/>
      <w:pgMar w:top="1417" w:right="1417" w:bottom="1417" w:left="1417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1015" w14:textId="77777777" w:rsidR="00471B00" w:rsidRDefault="00471B00">
      <w:r>
        <w:separator/>
      </w:r>
    </w:p>
  </w:endnote>
  <w:endnote w:type="continuationSeparator" w:id="0">
    <w:p w14:paraId="3B2ED081" w14:textId="77777777" w:rsidR="00471B00" w:rsidRDefault="00471B00">
      <w:r>
        <w:continuationSeparator/>
      </w:r>
    </w:p>
  </w:endnote>
  <w:endnote w:type="continuationNotice" w:id="1">
    <w:p w14:paraId="0D0513A7" w14:textId="77777777" w:rsidR="00535789" w:rsidRDefault="00535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6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46EEA2" w14:textId="2A69E0AC" w:rsidR="00471B00" w:rsidRPr="007A7A32" w:rsidRDefault="00471B00">
        <w:pPr>
          <w:pStyle w:val="Zpat"/>
          <w:jc w:val="center"/>
          <w:rPr>
            <w:sz w:val="18"/>
            <w:szCs w:val="18"/>
          </w:rPr>
        </w:pPr>
        <w:r w:rsidRPr="007A7A32">
          <w:rPr>
            <w:sz w:val="18"/>
            <w:szCs w:val="18"/>
          </w:rPr>
          <w:fldChar w:fldCharType="begin"/>
        </w:r>
        <w:r w:rsidRPr="007A7A32">
          <w:rPr>
            <w:sz w:val="18"/>
            <w:szCs w:val="18"/>
          </w:rPr>
          <w:instrText xml:space="preserve"> PAGE   \* MERGEFORMAT </w:instrText>
        </w:r>
        <w:r w:rsidRPr="007A7A32">
          <w:rPr>
            <w:sz w:val="18"/>
            <w:szCs w:val="18"/>
          </w:rPr>
          <w:fldChar w:fldCharType="separate"/>
        </w:r>
        <w:r w:rsidR="00726F69">
          <w:rPr>
            <w:noProof/>
            <w:sz w:val="18"/>
            <w:szCs w:val="18"/>
          </w:rPr>
          <w:t>10</w:t>
        </w:r>
        <w:r w:rsidRPr="007A7A32">
          <w:rPr>
            <w:sz w:val="18"/>
            <w:szCs w:val="18"/>
          </w:rPr>
          <w:fldChar w:fldCharType="end"/>
        </w:r>
      </w:p>
    </w:sdtContent>
  </w:sdt>
  <w:p w14:paraId="2146EEA3" w14:textId="77777777" w:rsidR="00471B00" w:rsidRDefault="00471B00">
    <w:pPr>
      <w:pStyle w:val="Zpa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CDF1" w14:textId="77777777" w:rsidR="00471B00" w:rsidRDefault="00471B00">
      <w:r>
        <w:separator/>
      </w:r>
    </w:p>
  </w:footnote>
  <w:footnote w:type="continuationSeparator" w:id="0">
    <w:p w14:paraId="4DBB695D" w14:textId="77777777" w:rsidR="00471B00" w:rsidRDefault="00471B00">
      <w:r>
        <w:continuationSeparator/>
      </w:r>
    </w:p>
  </w:footnote>
  <w:footnote w:type="continuationNotice" w:id="1">
    <w:p w14:paraId="2983054A" w14:textId="77777777" w:rsidR="00535789" w:rsidRDefault="005357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71"/>
    <w:multiLevelType w:val="multilevel"/>
    <w:tmpl w:val="88AA857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4DA3EA2"/>
    <w:multiLevelType w:val="multilevel"/>
    <w:tmpl w:val="02B434E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5EF55AF"/>
    <w:multiLevelType w:val="hybridMultilevel"/>
    <w:tmpl w:val="B66033C2"/>
    <w:lvl w:ilvl="0" w:tplc="FFFFFFFF">
      <w:numFmt w:val="bullet"/>
      <w:lvlText w:val="-"/>
      <w:lvlJc w:val="left"/>
      <w:pPr>
        <w:tabs>
          <w:tab w:val="num" w:pos="53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348"/>
    <w:multiLevelType w:val="multilevel"/>
    <w:tmpl w:val="864CBAD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8C93CAD"/>
    <w:multiLevelType w:val="hybridMultilevel"/>
    <w:tmpl w:val="C750B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7508A"/>
    <w:multiLevelType w:val="multilevel"/>
    <w:tmpl w:val="E81ADB16"/>
    <w:lvl w:ilvl="0">
      <w:start w:val="1"/>
      <w:numFmt w:val="upperRoman"/>
      <w:suff w:val="space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upperRoman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D50D92"/>
    <w:multiLevelType w:val="hybridMultilevel"/>
    <w:tmpl w:val="4A4A7170"/>
    <w:lvl w:ilvl="0" w:tplc="38EAD3A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977A8F"/>
    <w:multiLevelType w:val="multilevel"/>
    <w:tmpl w:val="2A0C7CF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105071CD"/>
    <w:multiLevelType w:val="multilevel"/>
    <w:tmpl w:val="68B2FCCA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18B3258"/>
    <w:multiLevelType w:val="multilevel"/>
    <w:tmpl w:val="70A61F12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4540E4D"/>
    <w:multiLevelType w:val="multilevel"/>
    <w:tmpl w:val="BA5CDA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A9B5753"/>
    <w:multiLevelType w:val="hybridMultilevel"/>
    <w:tmpl w:val="08F4FC4C"/>
    <w:lvl w:ilvl="0" w:tplc="71309B7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30749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E2042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E6D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6D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5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06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C5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4B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600ED"/>
    <w:multiLevelType w:val="multilevel"/>
    <w:tmpl w:val="561491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56E1797"/>
    <w:multiLevelType w:val="multilevel"/>
    <w:tmpl w:val="48A2ECBC"/>
    <w:styleLink w:val="Styl1"/>
    <w:lvl w:ilvl="0">
      <w:start w:val="1"/>
      <w:numFmt w:val="upperRoman"/>
      <w:suff w:val="space"/>
      <w:lvlText w:val="%1."/>
      <w:lvlJc w:val="center"/>
      <w:pPr>
        <w:ind w:left="432" w:hanging="72"/>
      </w:pPr>
      <w:rPr>
        <w:rFonts w:hint="default"/>
      </w:rPr>
    </w:lvl>
    <w:lvl w:ilvl="1">
      <w:start w:val="1"/>
      <w:numFmt w:val="upperRoman"/>
      <w:isLgl/>
      <w:lvlText w:val="%1.%2"/>
      <w:lvlJc w:val="left"/>
      <w:pPr>
        <w:tabs>
          <w:tab w:val="num" w:pos="794"/>
        </w:tabs>
        <w:ind w:left="7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2" w:hanging="360"/>
      </w:pPr>
      <w:rPr>
        <w:rFonts w:hint="default"/>
      </w:rPr>
    </w:lvl>
  </w:abstractNum>
  <w:abstractNum w:abstractNumId="14" w15:restartNumberingAfterBreak="0">
    <w:nsid w:val="27C606A2"/>
    <w:multiLevelType w:val="multilevel"/>
    <w:tmpl w:val="06C05F86"/>
    <w:lvl w:ilvl="0">
      <w:start w:val="1"/>
      <w:numFmt w:val="upperRoman"/>
      <w:suff w:val="space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upperRoman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761684"/>
    <w:multiLevelType w:val="hybridMultilevel"/>
    <w:tmpl w:val="E64C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3760D"/>
    <w:multiLevelType w:val="multilevel"/>
    <w:tmpl w:val="2A0C7CF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2DC2379E"/>
    <w:multiLevelType w:val="multilevel"/>
    <w:tmpl w:val="F02438A4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2411BAB"/>
    <w:multiLevelType w:val="hybridMultilevel"/>
    <w:tmpl w:val="2AF8EF82"/>
    <w:lvl w:ilvl="0" w:tplc="3D622EE2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77D90"/>
    <w:multiLevelType w:val="multilevel"/>
    <w:tmpl w:val="14A6840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44161F1"/>
    <w:multiLevelType w:val="hybridMultilevel"/>
    <w:tmpl w:val="6C16211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D5135B"/>
    <w:multiLevelType w:val="multilevel"/>
    <w:tmpl w:val="70A61F1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BA44790"/>
    <w:multiLevelType w:val="multilevel"/>
    <w:tmpl w:val="14A6840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EF33908"/>
    <w:multiLevelType w:val="hybridMultilevel"/>
    <w:tmpl w:val="4D063182"/>
    <w:lvl w:ilvl="0" w:tplc="FFFFFFFF">
      <w:numFmt w:val="bullet"/>
      <w:lvlText w:val="-"/>
      <w:lvlJc w:val="left"/>
      <w:pPr>
        <w:tabs>
          <w:tab w:val="num" w:pos="53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55A0E"/>
    <w:multiLevelType w:val="multilevel"/>
    <w:tmpl w:val="48A2ECBC"/>
    <w:numStyleLink w:val="Styl1"/>
  </w:abstractNum>
  <w:abstractNum w:abstractNumId="25" w15:restartNumberingAfterBreak="0">
    <w:nsid w:val="42417BD1"/>
    <w:multiLevelType w:val="multilevel"/>
    <w:tmpl w:val="C6E25B5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29F03DC"/>
    <w:multiLevelType w:val="multilevel"/>
    <w:tmpl w:val="879CDD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445839C1"/>
    <w:multiLevelType w:val="multilevel"/>
    <w:tmpl w:val="06C05F86"/>
    <w:lvl w:ilvl="0">
      <w:start w:val="1"/>
      <w:numFmt w:val="upperRoman"/>
      <w:suff w:val="space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upperRoman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65F5CB4"/>
    <w:multiLevelType w:val="multilevel"/>
    <w:tmpl w:val="6F0EE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488F5C7A"/>
    <w:multiLevelType w:val="multilevel"/>
    <w:tmpl w:val="0EDA1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D4E5EE0"/>
    <w:multiLevelType w:val="multilevel"/>
    <w:tmpl w:val="FB7EA934"/>
    <w:lvl w:ilvl="0">
      <w:start w:val="1"/>
      <w:numFmt w:val="upperRoman"/>
      <w:suff w:val="space"/>
      <w:lvlText w:val="%1."/>
      <w:lvlJc w:val="center"/>
      <w:pPr>
        <w:ind w:left="567" w:hanging="567"/>
      </w:pPr>
      <w:rPr>
        <w:rFonts w:hint="default"/>
      </w:rPr>
    </w:lvl>
    <w:lvl w:ilvl="1">
      <w:numFmt w:val="upperRoman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07434DE"/>
    <w:multiLevelType w:val="multilevel"/>
    <w:tmpl w:val="B9BC19D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5568474F"/>
    <w:multiLevelType w:val="hybridMultilevel"/>
    <w:tmpl w:val="7674A048"/>
    <w:lvl w:ilvl="0" w:tplc="572E1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B498A"/>
    <w:multiLevelType w:val="hybridMultilevel"/>
    <w:tmpl w:val="8E68B7B6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FE62EC"/>
    <w:multiLevelType w:val="hybridMultilevel"/>
    <w:tmpl w:val="8E68B7B6"/>
    <w:lvl w:ilvl="0" w:tplc="FFFFFFFF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983371E"/>
    <w:multiLevelType w:val="multilevel"/>
    <w:tmpl w:val="70A61F12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5A2F7487"/>
    <w:multiLevelType w:val="multilevel"/>
    <w:tmpl w:val="1D4C2F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5AC20AA0"/>
    <w:multiLevelType w:val="hybridMultilevel"/>
    <w:tmpl w:val="5C7E9F9A"/>
    <w:lvl w:ilvl="0" w:tplc="57DC0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2FC20">
      <w:start w:val="15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7B8D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04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32A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40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CD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AB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C18EB"/>
    <w:multiLevelType w:val="hybridMultilevel"/>
    <w:tmpl w:val="D2BC3584"/>
    <w:lvl w:ilvl="0" w:tplc="943648B6">
      <w:start w:val="1"/>
      <w:numFmt w:val="lowerLetter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8107E3A"/>
    <w:multiLevelType w:val="multilevel"/>
    <w:tmpl w:val="06C05F86"/>
    <w:lvl w:ilvl="0">
      <w:start w:val="1"/>
      <w:numFmt w:val="upperRoman"/>
      <w:suff w:val="space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upperRoman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91B707A"/>
    <w:multiLevelType w:val="multilevel"/>
    <w:tmpl w:val="70A61F12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69DB39F7"/>
    <w:multiLevelType w:val="multilevel"/>
    <w:tmpl w:val="6918526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6F96169E"/>
    <w:multiLevelType w:val="multilevel"/>
    <w:tmpl w:val="DAE418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3620A3"/>
    <w:multiLevelType w:val="multilevel"/>
    <w:tmpl w:val="8D16304A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FB1803"/>
    <w:multiLevelType w:val="multilevel"/>
    <w:tmpl w:val="F02438A4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7EBD779E"/>
    <w:multiLevelType w:val="multilevel"/>
    <w:tmpl w:val="E81ADB16"/>
    <w:lvl w:ilvl="0">
      <w:start w:val="1"/>
      <w:numFmt w:val="upperRoman"/>
      <w:suff w:val="space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upperRoman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A70F15"/>
    <w:multiLevelType w:val="hybridMultilevel"/>
    <w:tmpl w:val="33EA02E2"/>
    <w:lvl w:ilvl="0" w:tplc="550ACB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1"/>
  </w:num>
  <w:num w:numId="4">
    <w:abstractNumId w:val="33"/>
  </w:num>
  <w:num w:numId="5">
    <w:abstractNumId w:val="34"/>
  </w:num>
  <w:num w:numId="6">
    <w:abstractNumId w:val="16"/>
  </w:num>
  <w:num w:numId="7">
    <w:abstractNumId w:val="2"/>
  </w:num>
  <w:num w:numId="8">
    <w:abstractNumId w:val="21"/>
  </w:num>
  <w:num w:numId="9">
    <w:abstractNumId w:val="23"/>
  </w:num>
  <w:num w:numId="10">
    <w:abstractNumId w:val="40"/>
  </w:num>
  <w:num w:numId="11">
    <w:abstractNumId w:val="9"/>
  </w:num>
  <w:num w:numId="12">
    <w:abstractNumId w:val="0"/>
  </w:num>
  <w:num w:numId="13">
    <w:abstractNumId w:val="17"/>
  </w:num>
  <w:num w:numId="14">
    <w:abstractNumId w:val="44"/>
  </w:num>
  <w:num w:numId="15">
    <w:abstractNumId w:val="31"/>
  </w:num>
  <w:num w:numId="16">
    <w:abstractNumId w:val="22"/>
  </w:num>
  <w:num w:numId="17">
    <w:abstractNumId w:val="19"/>
  </w:num>
  <w:num w:numId="18">
    <w:abstractNumId w:val="35"/>
  </w:num>
  <w:num w:numId="19">
    <w:abstractNumId w:val="36"/>
  </w:num>
  <w:num w:numId="20">
    <w:abstractNumId w:val="28"/>
  </w:num>
  <w:num w:numId="21">
    <w:abstractNumId w:val="12"/>
  </w:num>
  <w:num w:numId="22">
    <w:abstractNumId w:val="26"/>
  </w:num>
  <w:num w:numId="23">
    <w:abstractNumId w:val="25"/>
  </w:num>
  <w:num w:numId="24">
    <w:abstractNumId w:val="10"/>
  </w:num>
  <w:num w:numId="25">
    <w:abstractNumId w:val="32"/>
  </w:num>
  <w:num w:numId="26">
    <w:abstractNumId w:val="29"/>
  </w:num>
  <w:num w:numId="27">
    <w:abstractNumId w:val="11"/>
  </w:num>
  <w:num w:numId="28">
    <w:abstractNumId w:val="38"/>
  </w:num>
  <w:num w:numId="29">
    <w:abstractNumId w:val="15"/>
  </w:num>
  <w:num w:numId="30">
    <w:abstractNumId w:val="4"/>
  </w:num>
  <w:num w:numId="31">
    <w:abstractNumId w:val="7"/>
  </w:num>
  <w:num w:numId="32">
    <w:abstractNumId w:val="18"/>
  </w:num>
  <w:num w:numId="33">
    <w:abstractNumId w:val="1"/>
  </w:num>
  <w:num w:numId="34">
    <w:abstractNumId w:val="30"/>
  </w:num>
  <w:num w:numId="35">
    <w:abstractNumId w:val="45"/>
  </w:num>
  <w:num w:numId="36">
    <w:abstractNumId w:val="5"/>
  </w:num>
  <w:num w:numId="37">
    <w:abstractNumId w:val="13"/>
  </w:num>
  <w:num w:numId="38">
    <w:abstractNumId w:val="24"/>
  </w:num>
  <w:num w:numId="39">
    <w:abstractNumId w:val="39"/>
  </w:num>
  <w:num w:numId="40">
    <w:abstractNumId w:val="27"/>
  </w:num>
  <w:num w:numId="41">
    <w:abstractNumId w:val="14"/>
  </w:num>
  <w:num w:numId="42">
    <w:abstractNumId w:val="43"/>
  </w:num>
  <w:num w:numId="43">
    <w:abstractNumId w:val="42"/>
  </w:num>
  <w:num w:numId="44">
    <w:abstractNumId w:val="37"/>
  </w:num>
  <w:num w:numId="45">
    <w:abstractNumId w:val="6"/>
  </w:num>
  <w:num w:numId="46">
    <w:abstractNumId w:val="4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45"/>
    <w:rsid w:val="00003FC7"/>
    <w:rsid w:val="0002043A"/>
    <w:rsid w:val="000204A8"/>
    <w:rsid w:val="00020B02"/>
    <w:rsid w:val="000234EF"/>
    <w:rsid w:val="00030D5D"/>
    <w:rsid w:val="00031399"/>
    <w:rsid w:val="00042C85"/>
    <w:rsid w:val="00046075"/>
    <w:rsid w:val="000506F8"/>
    <w:rsid w:val="00063716"/>
    <w:rsid w:val="00064CB5"/>
    <w:rsid w:val="0007424C"/>
    <w:rsid w:val="00085239"/>
    <w:rsid w:val="00094A4E"/>
    <w:rsid w:val="00095699"/>
    <w:rsid w:val="000A0496"/>
    <w:rsid w:val="000A60E1"/>
    <w:rsid w:val="000C73AF"/>
    <w:rsid w:val="000F22DD"/>
    <w:rsid w:val="000F4546"/>
    <w:rsid w:val="000F68DA"/>
    <w:rsid w:val="001105D0"/>
    <w:rsid w:val="00123BB0"/>
    <w:rsid w:val="00124189"/>
    <w:rsid w:val="00132D3C"/>
    <w:rsid w:val="001608CF"/>
    <w:rsid w:val="00172D06"/>
    <w:rsid w:val="00176B8F"/>
    <w:rsid w:val="00197061"/>
    <w:rsid w:val="001E1539"/>
    <w:rsid w:val="001E3489"/>
    <w:rsid w:val="001F30E8"/>
    <w:rsid w:val="00234AC9"/>
    <w:rsid w:val="002360D9"/>
    <w:rsid w:val="0023699E"/>
    <w:rsid w:val="00245CE3"/>
    <w:rsid w:val="00253F12"/>
    <w:rsid w:val="00271C63"/>
    <w:rsid w:val="00273632"/>
    <w:rsid w:val="00284E49"/>
    <w:rsid w:val="0029334D"/>
    <w:rsid w:val="002B29F2"/>
    <w:rsid w:val="002B388A"/>
    <w:rsid w:val="002C294C"/>
    <w:rsid w:val="002C5233"/>
    <w:rsid w:val="002F6E15"/>
    <w:rsid w:val="00304B72"/>
    <w:rsid w:val="003113EA"/>
    <w:rsid w:val="00315F6C"/>
    <w:rsid w:val="003200E4"/>
    <w:rsid w:val="0032010E"/>
    <w:rsid w:val="003217CB"/>
    <w:rsid w:val="003309B8"/>
    <w:rsid w:val="00345F1B"/>
    <w:rsid w:val="00363DA8"/>
    <w:rsid w:val="003648CE"/>
    <w:rsid w:val="00366483"/>
    <w:rsid w:val="00367AA9"/>
    <w:rsid w:val="003742B0"/>
    <w:rsid w:val="0037615E"/>
    <w:rsid w:val="00382570"/>
    <w:rsid w:val="00383F87"/>
    <w:rsid w:val="003874E2"/>
    <w:rsid w:val="00393762"/>
    <w:rsid w:val="00394038"/>
    <w:rsid w:val="003A1340"/>
    <w:rsid w:val="003A3480"/>
    <w:rsid w:val="003A5F77"/>
    <w:rsid w:val="003B28F8"/>
    <w:rsid w:val="003C08F8"/>
    <w:rsid w:val="003E17B1"/>
    <w:rsid w:val="003E1F96"/>
    <w:rsid w:val="003E5EC1"/>
    <w:rsid w:val="003F20E2"/>
    <w:rsid w:val="003F740E"/>
    <w:rsid w:val="004026E5"/>
    <w:rsid w:val="00430058"/>
    <w:rsid w:val="0043308F"/>
    <w:rsid w:val="004417D0"/>
    <w:rsid w:val="00464B51"/>
    <w:rsid w:val="00471B00"/>
    <w:rsid w:val="004834F0"/>
    <w:rsid w:val="00484E5E"/>
    <w:rsid w:val="00485580"/>
    <w:rsid w:val="00485854"/>
    <w:rsid w:val="00487533"/>
    <w:rsid w:val="004B2508"/>
    <w:rsid w:val="004C120C"/>
    <w:rsid w:val="004D4F33"/>
    <w:rsid w:val="004F26F2"/>
    <w:rsid w:val="004F6447"/>
    <w:rsid w:val="00504FEF"/>
    <w:rsid w:val="00507C5B"/>
    <w:rsid w:val="005119C3"/>
    <w:rsid w:val="00516525"/>
    <w:rsid w:val="005247A7"/>
    <w:rsid w:val="00530A51"/>
    <w:rsid w:val="00531219"/>
    <w:rsid w:val="005342D5"/>
    <w:rsid w:val="00534988"/>
    <w:rsid w:val="00535789"/>
    <w:rsid w:val="00553200"/>
    <w:rsid w:val="0056310F"/>
    <w:rsid w:val="00566741"/>
    <w:rsid w:val="00580CFC"/>
    <w:rsid w:val="00582F77"/>
    <w:rsid w:val="005833C1"/>
    <w:rsid w:val="00584FA8"/>
    <w:rsid w:val="00594D5B"/>
    <w:rsid w:val="00597687"/>
    <w:rsid w:val="005A31E6"/>
    <w:rsid w:val="005A6CD3"/>
    <w:rsid w:val="005A6CE2"/>
    <w:rsid w:val="005B4282"/>
    <w:rsid w:val="005D020D"/>
    <w:rsid w:val="005F311C"/>
    <w:rsid w:val="005F7886"/>
    <w:rsid w:val="0060752D"/>
    <w:rsid w:val="00612819"/>
    <w:rsid w:val="0062567F"/>
    <w:rsid w:val="00656E94"/>
    <w:rsid w:val="00664B04"/>
    <w:rsid w:val="00676C8D"/>
    <w:rsid w:val="006804A1"/>
    <w:rsid w:val="00681C64"/>
    <w:rsid w:val="00686054"/>
    <w:rsid w:val="00690179"/>
    <w:rsid w:val="006A4A3F"/>
    <w:rsid w:val="006A5332"/>
    <w:rsid w:val="006A5346"/>
    <w:rsid w:val="006A5445"/>
    <w:rsid w:val="006B31DC"/>
    <w:rsid w:val="006C2D90"/>
    <w:rsid w:val="006D1D43"/>
    <w:rsid w:val="006D3C07"/>
    <w:rsid w:val="006E05CF"/>
    <w:rsid w:val="006E4BE9"/>
    <w:rsid w:val="00720D90"/>
    <w:rsid w:val="00726F69"/>
    <w:rsid w:val="0072779F"/>
    <w:rsid w:val="007337C5"/>
    <w:rsid w:val="00734902"/>
    <w:rsid w:val="007415A3"/>
    <w:rsid w:val="00741DCE"/>
    <w:rsid w:val="00744768"/>
    <w:rsid w:val="00761620"/>
    <w:rsid w:val="00767A3A"/>
    <w:rsid w:val="00767FBB"/>
    <w:rsid w:val="00777616"/>
    <w:rsid w:val="007829B6"/>
    <w:rsid w:val="007841F5"/>
    <w:rsid w:val="007A3058"/>
    <w:rsid w:val="007A7A32"/>
    <w:rsid w:val="007B0738"/>
    <w:rsid w:val="007B11AF"/>
    <w:rsid w:val="007B3179"/>
    <w:rsid w:val="007B38BB"/>
    <w:rsid w:val="007C0D67"/>
    <w:rsid w:val="007C12B8"/>
    <w:rsid w:val="007C3660"/>
    <w:rsid w:val="007D5743"/>
    <w:rsid w:val="007D57B3"/>
    <w:rsid w:val="007D6A78"/>
    <w:rsid w:val="007D747E"/>
    <w:rsid w:val="007E3ED9"/>
    <w:rsid w:val="007E4B90"/>
    <w:rsid w:val="007F1529"/>
    <w:rsid w:val="007F2B70"/>
    <w:rsid w:val="0080050F"/>
    <w:rsid w:val="008036E9"/>
    <w:rsid w:val="00814B59"/>
    <w:rsid w:val="0081502B"/>
    <w:rsid w:val="00817106"/>
    <w:rsid w:val="008206D5"/>
    <w:rsid w:val="00824085"/>
    <w:rsid w:val="00834ECD"/>
    <w:rsid w:val="00843B35"/>
    <w:rsid w:val="00845A82"/>
    <w:rsid w:val="00846588"/>
    <w:rsid w:val="00870031"/>
    <w:rsid w:val="0087311E"/>
    <w:rsid w:val="0088490D"/>
    <w:rsid w:val="00885DD1"/>
    <w:rsid w:val="00893821"/>
    <w:rsid w:val="00896ECB"/>
    <w:rsid w:val="008B0BB2"/>
    <w:rsid w:val="008B107E"/>
    <w:rsid w:val="008B1926"/>
    <w:rsid w:val="008B3F37"/>
    <w:rsid w:val="008C51C9"/>
    <w:rsid w:val="008D72C9"/>
    <w:rsid w:val="008E6A09"/>
    <w:rsid w:val="00903E20"/>
    <w:rsid w:val="00923452"/>
    <w:rsid w:val="00964EDF"/>
    <w:rsid w:val="00970117"/>
    <w:rsid w:val="00972E1C"/>
    <w:rsid w:val="0098625E"/>
    <w:rsid w:val="00990DF4"/>
    <w:rsid w:val="00992A90"/>
    <w:rsid w:val="009A1E46"/>
    <w:rsid w:val="009B55EE"/>
    <w:rsid w:val="009B6456"/>
    <w:rsid w:val="009B726B"/>
    <w:rsid w:val="009C0AD3"/>
    <w:rsid w:val="009C7EA3"/>
    <w:rsid w:val="009D3AEB"/>
    <w:rsid w:val="009D6A09"/>
    <w:rsid w:val="009E0061"/>
    <w:rsid w:val="009E1641"/>
    <w:rsid w:val="009E2411"/>
    <w:rsid w:val="009E4688"/>
    <w:rsid w:val="009E500C"/>
    <w:rsid w:val="009F296E"/>
    <w:rsid w:val="00A02045"/>
    <w:rsid w:val="00A0330B"/>
    <w:rsid w:val="00A15B3F"/>
    <w:rsid w:val="00A30DA1"/>
    <w:rsid w:val="00A33AD3"/>
    <w:rsid w:val="00A521CF"/>
    <w:rsid w:val="00A55803"/>
    <w:rsid w:val="00A662F1"/>
    <w:rsid w:val="00A70AA2"/>
    <w:rsid w:val="00A710EA"/>
    <w:rsid w:val="00A71F0A"/>
    <w:rsid w:val="00A752B4"/>
    <w:rsid w:val="00A85D0A"/>
    <w:rsid w:val="00A95678"/>
    <w:rsid w:val="00AA0323"/>
    <w:rsid w:val="00AA3957"/>
    <w:rsid w:val="00AB01A2"/>
    <w:rsid w:val="00AB0E73"/>
    <w:rsid w:val="00AB70C5"/>
    <w:rsid w:val="00AC50BE"/>
    <w:rsid w:val="00AD1517"/>
    <w:rsid w:val="00AD238A"/>
    <w:rsid w:val="00AD693C"/>
    <w:rsid w:val="00AD6C37"/>
    <w:rsid w:val="00AD7656"/>
    <w:rsid w:val="00B01F96"/>
    <w:rsid w:val="00B04663"/>
    <w:rsid w:val="00B04EAB"/>
    <w:rsid w:val="00B06360"/>
    <w:rsid w:val="00B13118"/>
    <w:rsid w:val="00B13A3B"/>
    <w:rsid w:val="00B300DB"/>
    <w:rsid w:val="00B31591"/>
    <w:rsid w:val="00B34D30"/>
    <w:rsid w:val="00B472CA"/>
    <w:rsid w:val="00B636D1"/>
    <w:rsid w:val="00B646B7"/>
    <w:rsid w:val="00B72A1E"/>
    <w:rsid w:val="00B7461E"/>
    <w:rsid w:val="00B7512A"/>
    <w:rsid w:val="00B80C50"/>
    <w:rsid w:val="00BA2984"/>
    <w:rsid w:val="00BA4C8E"/>
    <w:rsid w:val="00BB1964"/>
    <w:rsid w:val="00BC0ED2"/>
    <w:rsid w:val="00BD0A81"/>
    <w:rsid w:val="00BD5980"/>
    <w:rsid w:val="00BE296D"/>
    <w:rsid w:val="00BE3A21"/>
    <w:rsid w:val="00BE5292"/>
    <w:rsid w:val="00BE671D"/>
    <w:rsid w:val="00C01539"/>
    <w:rsid w:val="00C03E80"/>
    <w:rsid w:val="00C05CFD"/>
    <w:rsid w:val="00C06379"/>
    <w:rsid w:val="00C10693"/>
    <w:rsid w:val="00C22007"/>
    <w:rsid w:val="00C24250"/>
    <w:rsid w:val="00C24D2F"/>
    <w:rsid w:val="00C31459"/>
    <w:rsid w:val="00C3599E"/>
    <w:rsid w:val="00C547AA"/>
    <w:rsid w:val="00C60050"/>
    <w:rsid w:val="00C62DD6"/>
    <w:rsid w:val="00C7606C"/>
    <w:rsid w:val="00C86418"/>
    <w:rsid w:val="00C91D2E"/>
    <w:rsid w:val="00C9338B"/>
    <w:rsid w:val="00C93AC7"/>
    <w:rsid w:val="00CC144D"/>
    <w:rsid w:val="00CC2393"/>
    <w:rsid w:val="00CD1FB9"/>
    <w:rsid w:val="00CD485A"/>
    <w:rsid w:val="00CE5819"/>
    <w:rsid w:val="00D02719"/>
    <w:rsid w:val="00D02752"/>
    <w:rsid w:val="00D05AF4"/>
    <w:rsid w:val="00D13D61"/>
    <w:rsid w:val="00D15A31"/>
    <w:rsid w:val="00D16703"/>
    <w:rsid w:val="00D20C8E"/>
    <w:rsid w:val="00D27178"/>
    <w:rsid w:val="00D31C1F"/>
    <w:rsid w:val="00D327E3"/>
    <w:rsid w:val="00D471C5"/>
    <w:rsid w:val="00D4740A"/>
    <w:rsid w:val="00D51073"/>
    <w:rsid w:val="00D53C13"/>
    <w:rsid w:val="00D75802"/>
    <w:rsid w:val="00D77229"/>
    <w:rsid w:val="00D92635"/>
    <w:rsid w:val="00D94655"/>
    <w:rsid w:val="00D95696"/>
    <w:rsid w:val="00DA07B9"/>
    <w:rsid w:val="00DA2427"/>
    <w:rsid w:val="00DA3AFB"/>
    <w:rsid w:val="00DA42A5"/>
    <w:rsid w:val="00DA4306"/>
    <w:rsid w:val="00DC155D"/>
    <w:rsid w:val="00DD4E1D"/>
    <w:rsid w:val="00DE177D"/>
    <w:rsid w:val="00DF1D1A"/>
    <w:rsid w:val="00DF3694"/>
    <w:rsid w:val="00E05F2F"/>
    <w:rsid w:val="00E07620"/>
    <w:rsid w:val="00E16C73"/>
    <w:rsid w:val="00E265E7"/>
    <w:rsid w:val="00E30490"/>
    <w:rsid w:val="00E3239D"/>
    <w:rsid w:val="00E46E38"/>
    <w:rsid w:val="00E762A6"/>
    <w:rsid w:val="00E77061"/>
    <w:rsid w:val="00E91176"/>
    <w:rsid w:val="00EA5BA1"/>
    <w:rsid w:val="00ED1A52"/>
    <w:rsid w:val="00ED69F1"/>
    <w:rsid w:val="00ED6A24"/>
    <w:rsid w:val="00EE4E7D"/>
    <w:rsid w:val="00EE64AA"/>
    <w:rsid w:val="00EF081B"/>
    <w:rsid w:val="00F01402"/>
    <w:rsid w:val="00F07E24"/>
    <w:rsid w:val="00F1270D"/>
    <w:rsid w:val="00F133D0"/>
    <w:rsid w:val="00F22654"/>
    <w:rsid w:val="00F27337"/>
    <w:rsid w:val="00F41A99"/>
    <w:rsid w:val="00F44C07"/>
    <w:rsid w:val="00F50CB0"/>
    <w:rsid w:val="00F514B8"/>
    <w:rsid w:val="00F544C5"/>
    <w:rsid w:val="00F70945"/>
    <w:rsid w:val="00F743E1"/>
    <w:rsid w:val="00F8264C"/>
    <w:rsid w:val="00F9029D"/>
    <w:rsid w:val="00F92A0D"/>
    <w:rsid w:val="00F96A40"/>
    <w:rsid w:val="00F97EE6"/>
    <w:rsid w:val="00FA26F9"/>
    <w:rsid w:val="00FA2B8B"/>
    <w:rsid w:val="00FA4F62"/>
    <w:rsid w:val="00FB6112"/>
    <w:rsid w:val="00FC319B"/>
    <w:rsid w:val="00FC623B"/>
    <w:rsid w:val="00FD07C4"/>
    <w:rsid w:val="00FD4CE1"/>
    <w:rsid w:val="00FE1C39"/>
    <w:rsid w:val="00FF076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6ED9E"/>
  <w15:docId w15:val="{9A87720A-A9E8-4CCA-AA6D-E2DAB0F4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445"/>
    <w:rPr>
      <w:sz w:val="24"/>
      <w:szCs w:val="24"/>
    </w:rPr>
  </w:style>
  <w:style w:type="paragraph" w:styleId="Nadpis1">
    <w:name w:val="heading 1"/>
    <w:basedOn w:val="Normln"/>
    <w:next w:val="Normln"/>
    <w:qFormat/>
    <w:rsid w:val="006A5445"/>
    <w:pPr>
      <w:keepNext/>
      <w:spacing w:after="120"/>
      <w:jc w:val="center"/>
      <w:outlineLvl w:val="0"/>
    </w:pPr>
    <w:rPr>
      <w:rFonts w:ascii="Verdana" w:hAnsi="Verdana"/>
      <w:b/>
      <w:sz w:val="22"/>
    </w:rPr>
  </w:style>
  <w:style w:type="paragraph" w:styleId="Nadpis2">
    <w:name w:val="heading 2"/>
    <w:basedOn w:val="Normln"/>
    <w:next w:val="Normln"/>
    <w:qFormat/>
    <w:rsid w:val="006A5445"/>
    <w:pPr>
      <w:keepNext/>
      <w:jc w:val="center"/>
      <w:outlineLvl w:val="1"/>
    </w:pPr>
    <w:rPr>
      <w:rFonts w:ascii="Verdana" w:hAnsi="Verdana"/>
      <w:b/>
      <w:sz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926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6A5445"/>
    <w:rPr>
      <w:rFonts w:ascii="Courier New" w:hAnsi="Courier New"/>
      <w:sz w:val="20"/>
      <w:szCs w:val="20"/>
    </w:rPr>
  </w:style>
  <w:style w:type="paragraph" w:customStyle="1" w:styleId="BlockText2">
    <w:name w:val="Block Text 2"/>
    <w:basedOn w:val="Normln"/>
    <w:rsid w:val="006A5445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16"/>
      <w:szCs w:val="20"/>
    </w:rPr>
  </w:style>
  <w:style w:type="paragraph" w:styleId="Zkladntext">
    <w:name w:val="Body Text"/>
    <w:basedOn w:val="Normln"/>
    <w:rsid w:val="006A5445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6A5445"/>
    <w:rPr>
      <w:rFonts w:ascii="Verdana" w:hAnsi="Verdana"/>
      <w:bCs/>
      <w:sz w:val="22"/>
    </w:rPr>
  </w:style>
  <w:style w:type="paragraph" w:customStyle="1" w:styleId="Adresa">
    <w:name w:val="Adresa"/>
    <w:rsid w:val="006A544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6A54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A5445"/>
    <w:pPr>
      <w:ind w:left="2832" w:firstLine="4"/>
      <w:jc w:val="both"/>
    </w:pPr>
    <w:rPr>
      <w:rFonts w:ascii="Verdana" w:eastAsia="MS Mincho" w:hAnsi="Verdana"/>
      <w:sz w:val="20"/>
    </w:rPr>
  </w:style>
  <w:style w:type="paragraph" w:styleId="Textbubliny">
    <w:name w:val="Balloon Text"/>
    <w:basedOn w:val="Normln"/>
    <w:semiHidden/>
    <w:rsid w:val="005A6CE2"/>
    <w:rPr>
      <w:rFonts w:ascii="Tahoma" w:hAnsi="Tahoma" w:cs="Tahoma"/>
      <w:sz w:val="16"/>
      <w:szCs w:val="16"/>
    </w:rPr>
  </w:style>
  <w:style w:type="character" w:styleId="Hypertextovodkaz">
    <w:name w:val="Hyperlink"/>
    <w:rsid w:val="00990DF4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07424C"/>
    <w:pPr>
      <w:ind w:left="708"/>
    </w:pPr>
  </w:style>
  <w:style w:type="character" w:styleId="Odkaznakoment">
    <w:name w:val="annotation reference"/>
    <w:rsid w:val="00E265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65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65E7"/>
  </w:style>
  <w:style w:type="paragraph" w:styleId="Pedmtkomente">
    <w:name w:val="annotation subject"/>
    <w:basedOn w:val="Textkomente"/>
    <w:next w:val="Textkomente"/>
    <w:link w:val="PedmtkomenteChar"/>
    <w:rsid w:val="00E265E7"/>
    <w:rPr>
      <w:b/>
      <w:bCs/>
    </w:rPr>
  </w:style>
  <w:style w:type="character" w:customStyle="1" w:styleId="PedmtkomenteChar">
    <w:name w:val="Předmět komentáře Char"/>
    <w:link w:val="Pedmtkomente"/>
    <w:rsid w:val="00E265E7"/>
    <w:rPr>
      <w:b/>
      <w:bCs/>
    </w:rPr>
  </w:style>
  <w:style w:type="character" w:customStyle="1" w:styleId="Nadpis8Char">
    <w:name w:val="Nadpis 8 Char"/>
    <w:link w:val="Nadpis8"/>
    <w:semiHidden/>
    <w:rsid w:val="00D92635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Styl1">
    <w:name w:val="Styl1"/>
    <w:uiPriority w:val="99"/>
    <w:rsid w:val="006B31DC"/>
    <w:pPr>
      <w:numPr>
        <w:numId w:val="37"/>
      </w:numPr>
    </w:pPr>
  </w:style>
  <w:style w:type="paragraph" w:styleId="Zhlav">
    <w:name w:val="header"/>
    <w:basedOn w:val="Normln"/>
    <w:link w:val="ZhlavChar"/>
    <w:rsid w:val="008E6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6A0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7A32"/>
    <w:rPr>
      <w:sz w:val="24"/>
      <w:szCs w:val="24"/>
    </w:rPr>
  </w:style>
  <w:style w:type="table" w:styleId="Mkatabulky">
    <w:name w:val="Table Grid"/>
    <w:basedOn w:val="Normlntabulka"/>
    <w:uiPriority w:val="59"/>
    <w:rsid w:val="00C60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rsid w:val="00D5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aktury@pmd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E400C5-C021-4F84-9F47-5951D9073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3D272-A072-4B85-9CCF-B8EF00AD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49D9F-41AC-4EBA-A1AB-7923B1A5042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3066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Čistopis</vt:lpstr>
    </vt:vector>
  </TitlesOfParts>
  <Company>Impromat Int.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Čistopis</dc:title>
  <dc:creator>Kotoučová Lucie, Mgr.</dc:creator>
  <cp:lastModifiedBy>Kodýtková Zdeňka</cp:lastModifiedBy>
  <cp:revision>5</cp:revision>
  <cp:lastPrinted>2021-01-25T14:16:00Z</cp:lastPrinted>
  <dcterms:created xsi:type="dcterms:W3CDTF">2021-02-24T07:23:00Z</dcterms:created>
  <dcterms:modified xsi:type="dcterms:W3CDTF">2021-03-02T12:35:00Z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